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73C42" w:rsidRPr="00773C42">
        <w:rPr>
          <w:rFonts w:ascii="Arial Narrow" w:hAnsi="Arial Narrow" w:cstheme="minorHAnsi"/>
          <w:color w:val="auto"/>
          <w:sz w:val="28"/>
          <w:szCs w:val="28"/>
        </w:rPr>
        <w:t>OPII-87-1.1-ZSR-DZSZATV</w:t>
      </w:r>
      <w:r w:rsidR="00E93A4C">
        <w:rPr>
          <w:rFonts w:ascii="Arial Narrow" w:hAnsi="Arial Narrow" w:cstheme="minorHAnsi"/>
          <w:color w:val="auto"/>
          <w:sz w:val="28"/>
          <w:szCs w:val="28"/>
        </w:rPr>
        <w:t>F</w:t>
      </w:r>
      <w:r w:rsidR="00773C42" w:rsidRPr="00773C42">
        <w:rPr>
          <w:rFonts w:ascii="Arial Narrow" w:hAnsi="Arial Narrow" w:cstheme="minorHAnsi"/>
          <w:color w:val="auto"/>
          <w:sz w:val="28"/>
          <w:szCs w:val="28"/>
        </w:rPr>
        <w:t>P</w:t>
      </w:r>
    </w:p>
    <w:p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 xml:space="preserve">predloženie žiadosti o NFP pre </w:t>
      </w:r>
      <w:r w:rsidR="00773C42">
        <w:rPr>
          <w:rFonts w:ascii="Arial Narrow" w:hAnsi="Arial Narrow"/>
          <w:b/>
          <w:lang w:eastAsia="sk-SK"/>
        </w:rPr>
        <w:t>veľký</w:t>
      </w:r>
      <w:r w:rsidR="00F65BDA">
        <w:rPr>
          <w:rFonts w:ascii="Arial Narrow" w:hAnsi="Arial Narrow"/>
          <w:b/>
          <w:lang w:eastAsia="sk-SK"/>
        </w:rPr>
        <w:t xml:space="preserve"> fázovaný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822CBB">
        <w:rPr>
          <w:rFonts w:ascii="Arial Narrow" w:hAnsi="Arial Narrow"/>
          <w:b/>
          <w:lang w:eastAsia="sk-SK"/>
        </w:rPr>
        <w:t>1</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rsidTr="000A7225">
        <w:tc>
          <w:tcPr>
            <w:tcW w:w="9322" w:type="dxa"/>
            <w:shd w:val="clear" w:color="auto" w:fill="002060"/>
            <w:vAlign w:val="center"/>
          </w:tcPr>
          <w:p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rsidTr="00F1589B">
        <w:trPr>
          <w:trHeight w:val="284"/>
        </w:trPr>
        <w:tc>
          <w:tcPr>
            <w:tcW w:w="2376" w:type="dxa"/>
            <w:shd w:val="clear" w:color="auto" w:fill="D9D9D9" w:themeFill="background1" w:themeFillShade="D9"/>
            <w:vAlign w:val="center"/>
          </w:tcPr>
          <w:p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rsidR="00D33A6C" w:rsidRPr="00472A05" w:rsidRDefault="00822CBB" w:rsidP="00822CBB">
            <w:pPr>
              <w:spacing w:before="120" w:after="120" w:line="240" w:lineRule="auto"/>
              <w:rPr>
                <w:rFonts w:ascii="Arial Narrow" w:hAnsi="Arial Narrow"/>
                <w:bCs/>
              </w:rPr>
            </w:pPr>
            <w:r>
              <w:rPr>
                <w:rFonts w:ascii="Arial Narrow" w:hAnsi="Arial Narrow"/>
                <w:bCs/>
              </w:rPr>
              <w:t>1</w:t>
            </w:r>
            <w:r w:rsidR="00192AB0" w:rsidRPr="00472A05">
              <w:rPr>
                <w:rFonts w:ascii="Arial Narrow" w:hAnsi="Arial Narrow"/>
                <w:bCs/>
              </w:rPr>
              <w:t xml:space="preserve"> </w:t>
            </w:r>
            <w:r w:rsidR="002D32D0" w:rsidRPr="00472A05">
              <w:rPr>
                <w:rFonts w:ascii="Arial Narrow" w:hAnsi="Arial Narrow"/>
                <w:bCs/>
              </w:rPr>
              <w:t>–</w:t>
            </w:r>
            <w:r w:rsidR="00192AB0" w:rsidRPr="00472A05">
              <w:rPr>
                <w:rFonts w:ascii="Arial Narrow" w:hAnsi="Arial Narrow"/>
                <w:bCs/>
              </w:rPr>
              <w:t xml:space="preserve"> </w:t>
            </w:r>
            <w:r w:rsidRPr="00822CBB">
              <w:rPr>
                <w:rFonts w:ascii="Arial Narrow" w:hAnsi="Arial Narrow"/>
                <w:bCs/>
              </w:rPr>
              <w:t>Železničná infraštruktúra (TEN-T CORE) a</w:t>
            </w:r>
            <w:r>
              <w:rPr>
                <w:rFonts w:ascii="Arial Narrow" w:hAnsi="Arial Narrow"/>
                <w:bCs/>
              </w:rPr>
              <w:t> </w:t>
            </w:r>
            <w:r w:rsidRPr="00822CBB">
              <w:rPr>
                <w:rFonts w:ascii="Arial Narrow" w:hAnsi="Arial Narrow"/>
                <w:bCs/>
              </w:rPr>
              <w:t>obnova</w:t>
            </w:r>
            <w:r>
              <w:rPr>
                <w:rFonts w:ascii="Arial Narrow" w:hAnsi="Arial Narrow"/>
                <w:bCs/>
              </w:rPr>
              <w:t xml:space="preserve"> </w:t>
            </w:r>
            <w:r w:rsidRPr="00822CBB">
              <w:rPr>
                <w:rFonts w:ascii="Arial Narrow" w:hAnsi="Arial Narrow"/>
                <w:bCs/>
              </w:rPr>
              <w:t>mobilných prostriedkov</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rsidR="00304501" w:rsidRPr="00472A05" w:rsidRDefault="00773C42" w:rsidP="00822CBB">
            <w:pPr>
              <w:spacing w:before="120" w:after="120" w:line="240" w:lineRule="auto"/>
              <w:rPr>
                <w:rFonts w:ascii="Arial Narrow" w:hAnsi="Arial Narrow"/>
                <w:lang w:eastAsia="de-DE"/>
              </w:rPr>
            </w:pPr>
            <w:r w:rsidRPr="00773C42">
              <w:rPr>
                <w:rFonts w:ascii="Arial Narrow" w:hAnsi="Arial Narrow"/>
                <w:bCs/>
              </w:rPr>
              <w:t>7i): Podpora multimodálneho jednotného európskeho dopravného priestoru pomocou investícií do TEN-T</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rsidR="00D33A6C" w:rsidRPr="00472A05" w:rsidRDefault="00773C42" w:rsidP="00773C42">
            <w:pPr>
              <w:spacing w:before="120" w:after="120" w:line="240" w:lineRule="auto"/>
              <w:rPr>
                <w:rFonts w:ascii="Arial Narrow" w:hAnsi="Arial Narrow"/>
              </w:rPr>
            </w:pPr>
            <w:r w:rsidRPr="00773C42">
              <w:rPr>
                <w:rFonts w:ascii="Arial Narrow" w:hAnsi="Arial Narrow"/>
              </w:rPr>
              <w:t>1.1: Odstránenie kľúčových úzkych miest na železničnej infraštruktúre</w:t>
            </w:r>
            <w:r>
              <w:rPr>
                <w:rFonts w:ascii="Arial Narrow" w:hAnsi="Arial Narrow"/>
              </w:rPr>
              <w:t xml:space="preserve"> </w:t>
            </w:r>
            <w:r w:rsidRPr="00773C42">
              <w:rPr>
                <w:rFonts w:ascii="Arial Narrow" w:hAnsi="Arial Narrow"/>
              </w:rPr>
              <w:t>prostredníctvom modernizácie a rozvoja hlavných železničných tratí a uzlov dopravne</w:t>
            </w:r>
            <w:r>
              <w:rPr>
                <w:rFonts w:ascii="Arial Narrow" w:hAnsi="Arial Narrow"/>
              </w:rPr>
              <w:t xml:space="preserve"> </w:t>
            </w:r>
            <w:r w:rsidRPr="00773C42">
              <w:rPr>
                <w:rFonts w:ascii="Arial Narrow" w:hAnsi="Arial Narrow"/>
              </w:rPr>
              <w:t>významných z hľadiska medzinárodnej a vnútroštátnej dopravy</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rsidTr="00F1589B">
        <w:trPr>
          <w:trHeight w:val="284"/>
        </w:trPr>
        <w:tc>
          <w:tcPr>
            <w:tcW w:w="2376" w:type="dxa"/>
            <w:shd w:val="clear" w:color="auto" w:fill="D9D9D9" w:themeFill="background1" w:themeFillShade="D9"/>
            <w:vAlign w:val="center"/>
          </w:tcPr>
          <w:p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rsidTr="00F1589B">
        <w:trPr>
          <w:trHeight w:val="284"/>
        </w:trPr>
        <w:tc>
          <w:tcPr>
            <w:tcW w:w="2376" w:type="dxa"/>
            <w:shd w:val="clear" w:color="auto" w:fill="D9D9D9" w:themeFill="background1" w:themeFillShade="D9"/>
            <w:vAlign w:val="center"/>
          </w:tcPr>
          <w:p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rsidR="007E5C50" w:rsidRPr="00472A05" w:rsidRDefault="00773C42"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rsidTr="00F1589B">
        <w:trPr>
          <w:trHeight w:val="284"/>
        </w:trPr>
        <w:tc>
          <w:tcPr>
            <w:tcW w:w="2376" w:type="dxa"/>
            <w:shd w:val="clear" w:color="auto" w:fill="D9D9D9" w:themeFill="background1" w:themeFillShade="D9"/>
            <w:vAlign w:val="center"/>
          </w:tcPr>
          <w:p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rsidR="005A2101" w:rsidRPr="00360174" w:rsidRDefault="00773C42" w:rsidP="00691B4B">
            <w:pPr>
              <w:spacing w:before="120" w:after="120" w:line="240" w:lineRule="auto"/>
              <w:rPr>
                <w:rFonts w:ascii="Arial Narrow" w:hAnsi="Arial Narrow" w:cstheme="minorHAnsi"/>
                <w:b/>
              </w:rPr>
            </w:pPr>
            <w:r w:rsidRPr="00773C42">
              <w:rPr>
                <w:rFonts w:ascii="Arial Narrow" w:hAnsi="Arial Narrow" w:cstheme="minorHAnsi"/>
                <w:b/>
              </w:rPr>
              <w:t>ŽSR, Dostavba zriaďovacej stanice Žilina – Teplička a nadväzujúcej železničnej infraštruktúry v uzle Žilina, I. etapa, (1.fáza)</w:t>
            </w:r>
          </w:p>
        </w:tc>
      </w:tr>
    </w:tbl>
    <w:p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rsidTr="0001092D">
        <w:tc>
          <w:tcPr>
            <w:tcW w:w="9288" w:type="dxa"/>
            <w:gridSpan w:val="2"/>
            <w:shd w:val="clear" w:color="auto" w:fill="D9D9D9" w:themeFill="background1" w:themeFillShade="D9"/>
          </w:tcPr>
          <w:p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rsidTr="00F1589B">
        <w:tc>
          <w:tcPr>
            <w:tcW w:w="2376" w:type="dxa"/>
            <w:shd w:val="clear" w:color="auto" w:fill="D9D9D9" w:themeFill="background1" w:themeFillShade="D9"/>
          </w:tcPr>
          <w:p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rsidTr="00F1589B">
        <w:tc>
          <w:tcPr>
            <w:tcW w:w="2376" w:type="dxa"/>
            <w:shd w:val="clear" w:color="auto" w:fill="D9D9D9" w:themeFill="background1" w:themeFillShade="D9"/>
            <w:vAlign w:val="center"/>
          </w:tcPr>
          <w:p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rsidTr="0001092D">
        <w:tc>
          <w:tcPr>
            <w:tcW w:w="9288" w:type="dxa"/>
            <w:gridSpan w:val="2"/>
            <w:shd w:val="clear" w:color="auto" w:fill="D9D9D9" w:themeFill="background1" w:themeFillShade="D9"/>
          </w:tcPr>
          <w:p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rsidTr="00D45093">
        <w:trPr>
          <w:trHeight w:val="444"/>
        </w:trPr>
        <w:tc>
          <w:tcPr>
            <w:tcW w:w="2376" w:type="dxa"/>
            <w:shd w:val="clear" w:color="auto" w:fill="D9D9D9" w:themeFill="background1" w:themeFillShade="D9"/>
          </w:tcPr>
          <w:p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rsidTr="00850E48">
        <w:trPr>
          <w:trHeight w:val="70"/>
        </w:trPr>
        <w:tc>
          <w:tcPr>
            <w:tcW w:w="2376" w:type="dxa"/>
            <w:shd w:val="clear" w:color="auto" w:fill="auto"/>
          </w:tcPr>
          <w:p w:rsidR="00B574AD" w:rsidRPr="00850E48" w:rsidRDefault="00B574AD" w:rsidP="00821775">
            <w:pPr>
              <w:spacing w:before="120" w:after="120" w:line="240" w:lineRule="auto"/>
              <w:jc w:val="both"/>
              <w:rPr>
                <w:rFonts w:ascii="Arial Narrow" w:hAnsi="Arial Narrow" w:cstheme="minorHAnsi"/>
              </w:rPr>
            </w:pPr>
            <w:r w:rsidRPr="00850E48">
              <w:rPr>
                <w:rFonts w:ascii="Arial Narrow" w:hAnsi="Arial Narrow" w:cstheme="minorHAnsi"/>
                <w:b/>
              </w:rPr>
              <w:t>Dátum vyhlásenia</w:t>
            </w:r>
          </w:p>
        </w:tc>
        <w:tc>
          <w:tcPr>
            <w:tcW w:w="6912" w:type="dxa"/>
            <w:shd w:val="clear" w:color="auto" w:fill="auto"/>
            <w:vAlign w:val="center"/>
          </w:tcPr>
          <w:p w:rsidR="00B574AD" w:rsidRPr="00850E48" w:rsidRDefault="00E1580C" w:rsidP="00F53106">
            <w:pPr>
              <w:spacing w:before="120" w:after="120" w:line="240" w:lineRule="auto"/>
              <w:rPr>
                <w:rFonts w:ascii="Arial Narrow" w:hAnsi="Arial Narrow" w:cstheme="minorHAnsi"/>
              </w:rPr>
            </w:pPr>
            <w:bookmarkStart w:id="0" w:name="_GoBack"/>
            <w:bookmarkEnd w:id="0"/>
            <w:r w:rsidRPr="00E1580C">
              <w:rPr>
                <w:rFonts w:ascii="Arial Narrow" w:hAnsi="Arial Narrow" w:cstheme="minorHAnsi"/>
              </w:rPr>
              <w:t xml:space="preserve">31.  marca </w:t>
            </w:r>
            <w:r w:rsidR="00186147" w:rsidRPr="00E1580C">
              <w:rPr>
                <w:rFonts w:ascii="Arial Narrow" w:hAnsi="Arial Narrow" w:cstheme="minorHAnsi"/>
              </w:rPr>
              <w:t>202</w:t>
            </w:r>
            <w:r w:rsidR="00F53106" w:rsidRPr="00E1580C">
              <w:rPr>
                <w:rFonts w:ascii="Arial Narrow" w:hAnsi="Arial Narrow" w:cstheme="minorHAnsi"/>
              </w:rPr>
              <w:t>1</w:t>
            </w:r>
          </w:p>
        </w:tc>
      </w:tr>
      <w:tr w:rsidR="00CD30CE" w:rsidRPr="00366C72" w:rsidTr="002226B3">
        <w:trPr>
          <w:trHeight w:val="261"/>
        </w:trPr>
        <w:tc>
          <w:tcPr>
            <w:tcW w:w="2376" w:type="dxa"/>
            <w:shd w:val="clear" w:color="auto" w:fill="D9D9D9" w:themeFill="background1" w:themeFillShade="D9"/>
          </w:tcPr>
          <w:p w:rsidR="00CD30CE" w:rsidRPr="00366C72" w:rsidRDefault="00CD30CE" w:rsidP="00B574AD">
            <w:pPr>
              <w:spacing w:before="120" w:after="120" w:line="240" w:lineRule="auto"/>
              <w:jc w:val="both"/>
              <w:rPr>
                <w:rFonts w:ascii="Arial Narrow" w:hAnsi="Arial Narrow" w:cstheme="minorHAnsi"/>
                <w:b/>
              </w:rPr>
            </w:pPr>
            <w:r w:rsidRPr="00366C72">
              <w:rPr>
                <w:rFonts w:ascii="Arial Narrow" w:hAnsi="Arial Narrow" w:cstheme="minorHAnsi"/>
                <w:b/>
              </w:rPr>
              <w:t>Dátum uzavretia</w:t>
            </w:r>
          </w:p>
        </w:tc>
        <w:tc>
          <w:tcPr>
            <w:tcW w:w="6912" w:type="dxa"/>
            <w:shd w:val="clear" w:color="auto" w:fill="auto"/>
            <w:vAlign w:val="center"/>
          </w:tcPr>
          <w:p w:rsidR="0029522A" w:rsidRPr="00366C72" w:rsidRDefault="00821775" w:rsidP="008F5E5B">
            <w:pPr>
              <w:spacing w:before="120" w:after="0" w:line="240" w:lineRule="auto"/>
              <w:ind w:left="34"/>
              <w:jc w:val="both"/>
              <w:rPr>
                <w:rFonts w:ascii="Arial Narrow" w:hAnsi="Arial Narrow" w:cstheme="minorHAnsi"/>
              </w:rPr>
            </w:pPr>
            <w:r w:rsidRPr="00366C72">
              <w:rPr>
                <w:rFonts w:ascii="Arial Narrow" w:hAnsi="Arial Narrow" w:cstheme="minorHAnsi"/>
              </w:rPr>
              <w:t xml:space="preserve">Uzavretie vyzvania nastáva </w:t>
            </w:r>
            <w:r w:rsidR="0069692F" w:rsidRPr="00366C72">
              <w:rPr>
                <w:rFonts w:ascii="Arial Narrow" w:hAnsi="Arial Narrow" w:cstheme="minorHAnsi"/>
              </w:rPr>
              <w:t>n</w:t>
            </w:r>
            <w:r w:rsidR="00EB6CCE" w:rsidRPr="00366C72">
              <w:rPr>
                <w:rFonts w:ascii="Arial Narrow" w:hAnsi="Arial Narrow" w:cstheme="minorHAnsi"/>
              </w:rPr>
              <w:t xml:space="preserve">a </w:t>
            </w:r>
            <w:r w:rsidR="002226B3" w:rsidRPr="00366C72">
              <w:rPr>
                <w:rFonts w:ascii="Arial Narrow" w:hAnsi="Arial Narrow" w:cstheme="minorHAnsi"/>
              </w:rPr>
              <w:t>základe</w:t>
            </w:r>
            <w:r w:rsidR="002226B3" w:rsidRPr="00366C72">
              <w:rPr>
                <w:rFonts w:ascii="Arial Narrow" w:hAnsi="Arial Narrow" w:cstheme="minorHAnsi"/>
              </w:rPr>
              <w:tab/>
              <w:t xml:space="preserve">predloženia Oznámenia veľkého projektu resp. Informácie o veľkom projekte Európskej Komisii alebo na základe </w:t>
            </w:r>
            <w:r w:rsidR="00157FB6" w:rsidRPr="00366C72">
              <w:rPr>
                <w:rFonts w:ascii="Arial Narrow" w:hAnsi="Arial Narrow" w:cstheme="minorHAnsi"/>
              </w:rPr>
              <w:t>uzavretia zmluvy o poskytnutí nenávratného finančného príspevku so žiadateľom</w:t>
            </w:r>
            <w:r w:rsidR="002226B3" w:rsidRPr="00366C72">
              <w:rPr>
                <w:rFonts w:ascii="Arial Narrow" w:hAnsi="Arial Narrow" w:cstheme="minorHAnsi"/>
              </w:rPr>
              <w:t xml:space="preserve"> alebo na základe rozhodnutia RO OPII o zrušení vyzvania</w:t>
            </w:r>
            <w:r w:rsidR="008F5E5B" w:rsidRPr="00366C72">
              <w:rPr>
                <w:rFonts w:ascii="Arial Narrow" w:hAnsi="Arial Narrow" w:cstheme="minorHAnsi"/>
              </w:rPr>
              <w:t xml:space="preserve"> alebo právoplatnosti rozhodnutia RO o neschválení ŽoNFP alebo zastavení konania o ŽoNFP</w:t>
            </w:r>
            <w:r w:rsidR="002226B3" w:rsidRPr="00366C72">
              <w:rPr>
                <w:rFonts w:ascii="Arial Narrow" w:hAnsi="Arial Narrow" w:cstheme="minorHAnsi"/>
              </w:rPr>
              <w:t xml:space="preserve">, o čom </w:t>
            </w:r>
            <w:r w:rsidR="002226B3" w:rsidRPr="00366C72">
              <w:rPr>
                <w:rFonts w:ascii="Arial Narrow" w:hAnsi="Arial Narrow" w:cstheme="minorHAnsi"/>
              </w:rPr>
              <w:lastRenderedPageBreak/>
              <w:t>RO OPII zverejní informáciu na webovom sídle RO OPII (podľa toho, ktorá z uvedených skutočností nastane skôr)</w:t>
            </w:r>
            <w:r w:rsidRPr="00366C72">
              <w:rPr>
                <w:rFonts w:ascii="Arial Narrow" w:hAnsi="Arial Narrow" w:cstheme="minorHAnsi"/>
              </w:rPr>
              <w:t>.</w:t>
            </w:r>
          </w:p>
        </w:tc>
      </w:tr>
    </w:tbl>
    <w:p w:rsidR="00BD5A87" w:rsidRPr="00366C72" w:rsidRDefault="00BD5A87"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366C72" w:rsidTr="0001092D">
        <w:tc>
          <w:tcPr>
            <w:tcW w:w="9288" w:type="dxa"/>
            <w:shd w:val="clear" w:color="auto" w:fill="D9D9D9" w:themeFill="background1" w:themeFillShade="D9"/>
          </w:tcPr>
          <w:p w:rsidR="00734744" w:rsidRPr="00366C72" w:rsidRDefault="00734744" w:rsidP="0001092D">
            <w:pPr>
              <w:numPr>
                <w:ilvl w:val="1"/>
                <w:numId w:val="1"/>
              </w:numPr>
              <w:spacing w:before="120" w:after="120" w:line="240" w:lineRule="auto"/>
              <w:ind w:left="425" w:hanging="431"/>
              <w:rPr>
                <w:rFonts w:ascii="Arial Narrow" w:hAnsi="Arial Narrow" w:cstheme="minorHAnsi"/>
              </w:rPr>
            </w:pPr>
            <w:r w:rsidRPr="00366C72">
              <w:rPr>
                <w:rFonts w:ascii="Arial Narrow" w:hAnsi="Arial Narrow" w:cstheme="minorHAnsi"/>
                <w:b/>
              </w:rPr>
              <w:t>Indikatívna výška finančných prostriedkov vyčlenených na vyzvanie (zdroje EÚ)</w:t>
            </w:r>
          </w:p>
        </w:tc>
      </w:tr>
      <w:tr w:rsidR="000F6F11" w:rsidRPr="00366C72" w:rsidTr="00F1589B">
        <w:trPr>
          <w:trHeight w:val="561"/>
        </w:trPr>
        <w:tc>
          <w:tcPr>
            <w:tcW w:w="9288" w:type="dxa"/>
            <w:shd w:val="clear" w:color="auto" w:fill="auto"/>
          </w:tcPr>
          <w:p w:rsidR="000F6F11" w:rsidRPr="00366C72" w:rsidRDefault="003A3C11" w:rsidP="00F1589B">
            <w:pPr>
              <w:spacing w:before="120" w:after="120" w:line="240" w:lineRule="auto"/>
              <w:jc w:val="both"/>
              <w:rPr>
                <w:rFonts w:ascii="Arial Narrow" w:hAnsi="Arial Narrow" w:cstheme="minorHAnsi"/>
              </w:rPr>
            </w:pPr>
            <w:r w:rsidRPr="00366C72">
              <w:rPr>
                <w:rFonts w:ascii="Arial Narrow" w:hAnsi="Arial Narrow" w:cstheme="minorHAnsi"/>
                <w:b/>
              </w:rPr>
              <w:t xml:space="preserve">Indikatívna výška finančných prostriedkov vyčlenených na vyzvanie </w:t>
            </w:r>
            <w:r w:rsidR="00F82DB4" w:rsidRPr="00366C72">
              <w:rPr>
                <w:rFonts w:ascii="Arial Narrow" w:hAnsi="Arial Narrow" w:cstheme="minorHAnsi"/>
                <w:b/>
              </w:rPr>
              <w:t xml:space="preserve">zo zdroja EÚ </w:t>
            </w:r>
            <w:r w:rsidRPr="00366C72">
              <w:rPr>
                <w:rFonts w:ascii="Arial Narrow" w:hAnsi="Arial Narrow" w:cstheme="minorHAnsi"/>
                <w:b/>
              </w:rPr>
              <w:t xml:space="preserve">je </w:t>
            </w:r>
            <w:r w:rsidR="00C22073" w:rsidRPr="00366C72">
              <w:rPr>
                <w:rFonts w:ascii="Arial Narrow" w:hAnsi="Arial Narrow" w:cstheme="minorHAnsi"/>
                <w:b/>
              </w:rPr>
              <w:t>247 965 756</w:t>
            </w:r>
            <w:r w:rsidR="00DD57FF" w:rsidRPr="00366C72">
              <w:rPr>
                <w:rFonts w:ascii="Arial Narrow" w:hAnsi="Arial Narrow" w:cstheme="minorHAnsi"/>
                <w:b/>
              </w:rPr>
              <w:t>,</w:t>
            </w:r>
            <w:r w:rsidR="008B341E" w:rsidRPr="00366C72">
              <w:rPr>
                <w:rFonts w:ascii="Arial Narrow" w:hAnsi="Arial Narrow" w:cstheme="minorHAnsi"/>
                <w:b/>
              </w:rPr>
              <w:t>0</w:t>
            </w:r>
            <w:r w:rsidR="00DD57FF" w:rsidRPr="00366C72">
              <w:rPr>
                <w:rFonts w:ascii="Arial Narrow" w:hAnsi="Arial Narrow" w:cstheme="minorHAnsi"/>
                <w:b/>
              </w:rPr>
              <w:t xml:space="preserve">0 </w:t>
            </w:r>
            <w:r w:rsidR="00417932" w:rsidRPr="00366C72">
              <w:rPr>
                <w:rFonts w:ascii="Arial Narrow" w:hAnsi="Arial Narrow" w:cstheme="minorHAnsi"/>
                <w:b/>
              </w:rPr>
              <w:t>EUR.</w:t>
            </w:r>
          </w:p>
          <w:p w:rsidR="00172140" w:rsidRPr="00366C72" w:rsidRDefault="00172140" w:rsidP="00F1589B">
            <w:pPr>
              <w:pStyle w:val="Default"/>
              <w:spacing w:before="120"/>
              <w:jc w:val="both"/>
              <w:rPr>
                <w:rFonts w:ascii="Arial Narrow" w:hAnsi="Arial Narrow"/>
                <w:color w:val="auto"/>
                <w:sz w:val="22"/>
                <w:szCs w:val="22"/>
              </w:rPr>
            </w:pPr>
            <w:r w:rsidRPr="00366C72">
              <w:rPr>
                <w:rFonts w:ascii="Arial Narrow" w:hAnsi="Arial Narrow"/>
                <w:color w:val="auto"/>
                <w:sz w:val="22"/>
                <w:szCs w:val="22"/>
              </w:rPr>
              <w:t>Uvedená indikatívna výška finančných prostriedkov predstavuje finančnú alokáciu veľkého projektu ako celku, t. j. oboch fáz projektu.</w:t>
            </w:r>
          </w:p>
          <w:p w:rsidR="000F6F11" w:rsidRPr="00366C72" w:rsidRDefault="00172140" w:rsidP="00F1589B">
            <w:pPr>
              <w:pStyle w:val="Default"/>
              <w:spacing w:before="120"/>
              <w:jc w:val="both"/>
              <w:rPr>
                <w:rFonts w:ascii="Arial Narrow" w:hAnsi="Arial Narrow"/>
                <w:color w:val="auto"/>
                <w:sz w:val="22"/>
                <w:szCs w:val="22"/>
              </w:rPr>
            </w:pPr>
            <w:r w:rsidRPr="00366C72">
              <w:rPr>
                <w:rFonts w:ascii="Arial Narrow" w:hAnsi="Arial Narrow"/>
                <w:color w:val="auto"/>
                <w:sz w:val="22"/>
                <w:szCs w:val="22"/>
              </w:rPr>
              <w:t xml:space="preserve"> </w:t>
            </w:r>
            <w:r w:rsidR="000F6F11" w:rsidRPr="00366C72">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366C72">
              <w:rPr>
                <w:rFonts w:ascii="Arial Narrow" w:hAnsi="Arial Narrow"/>
                <w:color w:val="auto"/>
                <w:sz w:val="22"/>
                <w:szCs w:val="22"/>
              </w:rPr>
              <w:t xml:space="preserve">webovom sídle </w:t>
            </w:r>
            <w:hyperlink r:id="rId9" w:history="1">
              <w:r w:rsidR="00AB4D3C" w:rsidRPr="00366C72">
                <w:rPr>
                  <w:rStyle w:val="Hypertextovprepojenie"/>
                  <w:rFonts w:ascii="Arial Narrow" w:hAnsi="Arial Narrow"/>
                  <w:color w:val="auto"/>
                  <w:sz w:val="22"/>
                  <w:szCs w:val="22"/>
                </w:rPr>
                <w:t>www.finance.gov.sk</w:t>
              </w:r>
            </w:hyperlink>
            <w:r w:rsidR="000F6F11" w:rsidRPr="00366C72">
              <w:rPr>
                <w:rFonts w:ascii="Arial Narrow" w:hAnsi="Arial Narrow"/>
                <w:color w:val="auto"/>
                <w:sz w:val="22"/>
                <w:szCs w:val="22"/>
              </w:rPr>
              <w:t xml:space="preserve">. </w:t>
            </w:r>
          </w:p>
          <w:p w:rsidR="00172140" w:rsidRPr="00366C72" w:rsidRDefault="00172140" w:rsidP="00F65BDA">
            <w:pPr>
              <w:spacing w:before="120" w:after="0" w:line="240" w:lineRule="auto"/>
              <w:jc w:val="both"/>
              <w:rPr>
                <w:rFonts w:ascii="Arial Narrow" w:hAnsi="Arial Narrow" w:cstheme="minorHAnsi"/>
              </w:rPr>
            </w:pPr>
            <w:r w:rsidRPr="00366C72">
              <w:rPr>
                <w:rFonts w:ascii="Arial Narrow" w:hAnsi="Arial Narrow" w:cstheme="minorHAnsi"/>
              </w:rPr>
              <w:t xml:space="preserve">Zmena indikatívnej výšky finančných prostriedkov určených na vyčerpanie je možná </w:t>
            </w:r>
            <w:r w:rsidR="00F65BDA" w:rsidRPr="00366C72">
              <w:rPr>
                <w:rFonts w:ascii="Arial Narrow" w:hAnsi="Arial Narrow" w:cstheme="minorHAnsi"/>
              </w:rPr>
              <w:t xml:space="preserve">iba </w:t>
            </w:r>
            <w:r w:rsidRPr="00366C72">
              <w:rPr>
                <w:rFonts w:ascii="Arial Narrow" w:hAnsi="Arial Narrow" w:cstheme="minorHAnsi"/>
              </w:rPr>
              <w:t>ak Európska komisia (ďalej aj „EK“) v rozhodnutí o veľkom projekte tak rozhodne a zároveň je zabezpečené finančné krytie.</w:t>
            </w:r>
          </w:p>
        </w:tc>
      </w:tr>
    </w:tbl>
    <w:p w:rsidR="00734744" w:rsidRPr="00366C72"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366C72" w:rsidTr="00F1589B">
        <w:tc>
          <w:tcPr>
            <w:tcW w:w="9288" w:type="dxa"/>
            <w:shd w:val="clear" w:color="auto" w:fill="D9D9D9" w:themeFill="background1" w:themeFillShade="D9"/>
          </w:tcPr>
          <w:p w:rsidR="00B237AE" w:rsidRPr="00366C72" w:rsidRDefault="00B237AE" w:rsidP="0001092D">
            <w:pPr>
              <w:numPr>
                <w:ilvl w:val="1"/>
                <w:numId w:val="1"/>
              </w:numPr>
              <w:spacing w:before="120" w:after="120" w:line="240" w:lineRule="auto"/>
              <w:ind w:left="425" w:hanging="431"/>
              <w:rPr>
                <w:rFonts w:ascii="Arial Narrow" w:hAnsi="Arial Narrow" w:cstheme="minorHAnsi"/>
              </w:rPr>
            </w:pPr>
            <w:r w:rsidRPr="00366C72">
              <w:rPr>
                <w:rFonts w:ascii="Arial Narrow" w:hAnsi="Arial Narrow" w:cstheme="minorHAnsi"/>
                <w:b/>
              </w:rPr>
              <w:t>Financovanie projektu</w:t>
            </w:r>
          </w:p>
        </w:tc>
      </w:tr>
      <w:tr w:rsidR="00B237AE" w:rsidRPr="00366C72" w:rsidTr="00F1589B">
        <w:trPr>
          <w:trHeight w:val="561"/>
        </w:trPr>
        <w:tc>
          <w:tcPr>
            <w:tcW w:w="9288" w:type="dxa"/>
            <w:shd w:val="clear" w:color="auto" w:fill="auto"/>
          </w:tcPr>
          <w:p w:rsidR="00B7057B" w:rsidRPr="00366C72" w:rsidRDefault="00B7057B" w:rsidP="00F1589B">
            <w:pPr>
              <w:spacing w:before="120" w:after="120" w:line="240" w:lineRule="auto"/>
              <w:jc w:val="both"/>
              <w:rPr>
                <w:rFonts w:ascii="Arial Narrow" w:hAnsi="Arial Narrow" w:cstheme="minorHAnsi"/>
                <w:color w:val="FF0000"/>
              </w:rPr>
            </w:pPr>
            <w:r w:rsidRPr="00366C72">
              <w:rPr>
                <w:rFonts w:ascii="Arial Narrow" w:hAnsi="Arial Narrow" w:cstheme="minorHAnsi"/>
              </w:rPr>
              <w:t>Financovanie celkových oprávnených výdavkov projektu v rámci vyzvania bude realizované v súlade s pravidlami stanovenými v platnej Stratégii financovania EŠIF, a to nasledovne:</w:t>
            </w:r>
            <w:r w:rsidR="00C4623D" w:rsidRPr="00366C72">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366C72"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rsidR="00B7057B" w:rsidRPr="00366C72" w:rsidRDefault="004B4D3C" w:rsidP="00F1589B">
                  <w:pPr>
                    <w:spacing w:after="0" w:line="240" w:lineRule="auto"/>
                    <w:rPr>
                      <w:rFonts w:ascii="Arial Narrow" w:eastAsia="Times New Roman" w:hAnsi="Arial Narrow"/>
                      <w:b/>
                      <w:bCs/>
                      <w:color w:val="000000"/>
                      <w:lang w:eastAsia="sk-SK"/>
                    </w:rPr>
                  </w:pPr>
                  <w:r w:rsidRPr="00366C72">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366C72" w:rsidRDefault="00B7057B" w:rsidP="003E1C75">
                  <w:pPr>
                    <w:spacing w:after="0" w:line="240" w:lineRule="auto"/>
                    <w:jc w:val="center"/>
                    <w:rPr>
                      <w:rFonts w:ascii="Arial Narrow" w:eastAsia="Times New Roman" w:hAnsi="Arial Narrow"/>
                      <w:b/>
                      <w:bCs/>
                      <w:color w:val="000000"/>
                      <w:lang w:eastAsia="sk-SK"/>
                    </w:rPr>
                  </w:pPr>
                  <w:r w:rsidRPr="00366C72">
                    <w:rPr>
                      <w:rFonts w:ascii="Arial Narrow" w:eastAsia="Times New Roman" w:hAnsi="Arial Narrow"/>
                      <w:b/>
                      <w:bCs/>
                      <w:color w:val="000000"/>
                      <w:lang w:eastAsia="sk-SK"/>
                    </w:rPr>
                    <w:t xml:space="preserve">% </w:t>
                  </w:r>
                  <w:r w:rsidR="004F448E" w:rsidRPr="00366C72">
                    <w:rPr>
                      <w:rFonts w:ascii="Arial Narrow" w:eastAsia="Times New Roman" w:hAnsi="Arial Narrow"/>
                      <w:b/>
                      <w:bCs/>
                      <w:color w:val="000000"/>
                      <w:lang w:eastAsia="sk-SK"/>
                    </w:rPr>
                    <w:t xml:space="preserve">financovania </w:t>
                  </w:r>
                  <w:r w:rsidRPr="00366C72">
                    <w:rPr>
                      <w:rFonts w:ascii="Arial Narrow" w:eastAsia="Times New Roman" w:hAnsi="Arial Narrow"/>
                      <w:b/>
                      <w:bCs/>
                      <w:color w:val="000000"/>
                      <w:lang w:eastAsia="sk-SK"/>
                    </w:rPr>
                    <w:t xml:space="preserve">celkových oprávnených </w:t>
                  </w:r>
                  <w:r w:rsidR="003E1C75" w:rsidRPr="00366C72">
                    <w:rPr>
                      <w:rFonts w:ascii="Arial Narrow" w:eastAsia="Times New Roman" w:hAnsi="Arial Narrow"/>
                      <w:b/>
                      <w:bCs/>
                      <w:color w:val="000000"/>
                      <w:lang w:eastAsia="sk-SK"/>
                    </w:rPr>
                    <w:t>výdavkov</w:t>
                  </w:r>
                  <w:r w:rsidR="009F692C" w:rsidRPr="00366C72">
                    <w:rPr>
                      <w:rFonts w:ascii="Arial Narrow" w:eastAsia="Times New Roman" w:hAnsi="Arial Narrow"/>
                      <w:b/>
                      <w:bCs/>
                      <w:color w:val="000000"/>
                      <w:lang w:eastAsia="sk-SK"/>
                    </w:rPr>
                    <w:t xml:space="preserve"> na realizáciu aktivít projektu</w:t>
                  </w:r>
                </w:p>
              </w:tc>
            </w:tr>
            <w:tr w:rsidR="00B7057B" w:rsidRPr="00366C72"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rsidR="00B7057B" w:rsidRPr="00366C72"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366C72" w:rsidRDefault="00B7057B" w:rsidP="00F1589B">
                  <w:pPr>
                    <w:spacing w:after="0" w:line="240" w:lineRule="auto"/>
                    <w:jc w:val="center"/>
                    <w:rPr>
                      <w:rFonts w:ascii="Arial Narrow" w:eastAsia="Times New Roman" w:hAnsi="Arial Narrow"/>
                      <w:b/>
                      <w:bCs/>
                      <w:color w:val="000000"/>
                      <w:lang w:eastAsia="sk-SK"/>
                    </w:rPr>
                  </w:pPr>
                  <w:r w:rsidRPr="00366C72">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366C72" w:rsidRDefault="00B7057B" w:rsidP="00F1589B">
                  <w:pPr>
                    <w:spacing w:after="0" w:line="240" w:lineRule="auto"/>
                    <w:jc w:val="center"/>
                    <w:rPr>
                      <w:rFonts w:ascii="Arial Narrow" w:eastAsia="Times New Roman" w:hAnsi="Arial Narrow"/>
                      <w:b/>
                      <w:bCs/>
                      <w:color w:val="000000"/>
                      <w:lang w:eastAsia="sk-SK"/>
                    </w:rPr>
                  </w:pPr>
                  <w:r w:rsidRPr="00366C72">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366C72" w:rsidRDefault="00B7057B" w:rsidP="00F1589B">
                  <w:pPr>
                    <w:spacing w:after="0" w:line="240" w:lineRule="auto"/>
                    <w:jc w:val="center"/>
                    <w:rPr>
                      <w:rFonts w:ascii="Arial Narrow" w:eastAsia="Times New Roman" w:hAnsi="Arial Narrow"/>
                      <w:b/>
                      <w:bCs/>
                      <w:color w:val="000000"/>
                      <w:lang w:eastAsia="sk-SK"/>
                    </w:rPr>
                  </w:pPr>
                  <w:r w:rsidRPr="00366C72">
                    <w:rPr>
                      <w:rFonts w:ascii="Arial Narrow" w:eastAsia="Times New Roman" w:hAnsi="Arial Narrow"/>
                      <w:b/>
                      <w:bCs/>
                      <w:color w:val="000000"/>
                      <w:lang w:eastAsia="sk-SK"/>
                    </w:rPr>
                    <w:t>P</w:t>
                  </w:r>
                </w:p>
              </w:tc>
            </w:tr>
            <w:tr w:rsidR="00B7057B" w:rsidRPr="00366C72"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8B341E" w:rsidRPr="00366C72" w:rsidRDefault="008B341E" w:rsidP="008B341E">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Železnice Slovenskej republiky</w:t>
                  </w:r>
                </w:p>
                <w:p w:rsidR="00420DF5" w:rsidRPr="00366C72" w:rsidRDefault="008B341E" w:rsidP="008B341E">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366C72" w:rsidRDefault="00B7057B" w:rsidP="00F1589B">
                  <w:pPr>
                    <w:spacing w:after="0" w:line="240" w:lineRule="auto"/>
                    <w:jc w:val="center"/>
                    <w:rPr>
                      <w:rFonts w:ascii="Arial Narrow" w:eastAsia="Times New Roman" w:hAnsi="Arial Narrow"/>
                      <w:color w:val="000000"/>
                      <w:lang w:eastAsia="sk-SK"/>
                    </w:rPr>
                  </w:pPr>
                  <w:r w:rsidRPr="00366C72">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366C72" w:rsidRDefault="00B7057B" w:rsidP="00F1589B">
                  <w:pPr>
                    <w:spacing w:after="0" w:line="240" w:lineRule="auto"/>
                    <w:jc w:val="center"/>
                    <w:rPr>
                      <w:rFonts w:ascii="Arial Narrow" w:eastAsia="Times New Roman" w:hAnsi="Arial Narrow"/>
                      <w:color w:val="000000"/>
                      <w:lang w:eastAsia="sk-SK"/>
                    </w:rPr>
                  </w:pPr>
                  <w:r w:rsidRPr="00366C72">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366C72" w:rsidRDefault="00B7057B" w:rsidP="00F1589B">
                  <w:pPr>
                    <w:spacing w:after="0" w:line="240" w:lineRule="auto"/>
                    <w:jc w:val="center"/>
                    <w:rPr>
                      <w:rFonts w:ascii="Arial Narrow" w:eastAsia="Times New Roman" w:hAnsi="Arial Narrow"/>
                      <w:color w:val="000000"/>
                      <w:lang w:eastAsia="sk-SK"/>
                    </w:rPr>
                  </w:pPr>
                  <w:r w:rsidRPr="00366C72">
                    <w:rPr>
                      <w:rFonts w:ascii="Arial Narrow" w:eastAsia="Times New Roman" w:hAnsi="Arial Narrow"/>
                      <w:color w:val="000000"/>
                      <w:lang w:eastAsia="sk-SK"/>
                    </w:rPr>
                    <w:t>0</w:t>
                  </w:r>
                </w:p>
              </w:tc>
            </w:tr>
          </w:tbl>
          <w:p w:rsidR="00B237AE" w:rsidRPr="00366C72" w:rsidRDefault="00C4623D" w:rsidP="008B341E">
            <w:pPr>
              <w:spacing w:after="60"/>
              <w:rPr>
                <w:rFonts w:ascii="Arial Narrow" w:hAnsi="Arial Narrow" w:cstheme="minorHAnsi"/>
              </w:rPr>
            </w:pPr>
            <w:r w:rsidRPr="00366C72">
              <w:rPr>
                <w:rFonts w:ascii="Arial Narrow" w:hAnsi="Arial Narrow" w:cstheme="minorHAnsi"/>
              </w:rPr>
              <w:t xml:space="preserve">          </w:t>
            </w:r>
            <w:r w:rsidR="004F448E" w:rsidRPr="00366C72">
              <w:rPr>
                <w:rFonts w:ascii="Arial Narrow" w:hAnsi="Arial Narrow" w:cstheme="minorHAnsi"/>
              </w:rPr>
              <w:t xml:space="preserve">EÚ = zdroj </w:t>
            </w:r>
            <w:r w:rsidR="00D92E3D" w:rsidRPr="00366C72">
              <w:rPr>
                <w:rFonts w:ascii="Arial Narrow" w:hAnsi="Arial Narrow" w:cstheme="minorHAnsi"/>
              </w:rPr>
              <w:t>K</w:t>
            </w:r>
            <w:r w:rsidR="002B1BCF" w:rsidRPr="00366C72">
              <w:rPr>
                <w:rFonts w:ascii="Arial Narrow" w:hAnsi="Arial Narrow" w:cstheme="minorHAnsi"/>
              </w:rPr>
              <w:t>F</w:t>
            </w:r>
            <w:r w:rsidR="004F448E" w:rsidRPr="00366C72">
              <w:rPr>
                <w:rFonts w:ascii="Arial Narrow" w:hAnsi="Arial Narrow" w:cstheme="minorHAnsi"/>
              </w:rPr>
              <w:t xml:space="preserve">, ŠR = zdroje štátneho rozpočtu SR, </w:t>
            </w:r>
            <w:r w:rsidRPr="00366C72">
              <w:rPr>
                <w:rFonts w:ascii="Arial Narrow" w:hAnsi="Arial Narrow" w:cstheme="minorHAnsi"/>
              </w:rPr>
              <w:t>P</w:t>
            </w:r>
            <w:r w:rsidR="004F448E" w:rsidRPr="00366C72">
              <w:rPr>
                <w:rFonts w:ascii="Arial Narrow" w:hAnsi="Arial Narrow" w:cstheme="minorHAnsi"/>
              </w:rPr>
              <w:t xml:space="preserve"> =</w:t>
            </w:r>
            <w:r w:rsidRPr="00366C72">
              <w:rPr>
                <w:rFonts w:ascii="Arial Narrow" w:hAnsi="Arial Narrow" w:cstheme="minorHAnsi"/>
              </w:rPr>
              <w:t xml:space="preserve"> </w:t>
            </w:r>
            <w:r w:rsidR="004F448E" w:rsidRPr="00366C72">
              <w:rPr>
                <w:rFonts w:ascii="Arial Narrow" w:hAnsi="Arial Narrow" w:cstheme="minorHAnsi"/>
              </w:rPr>
              <w:t xml:space="preserve">vlastné zdroje </w:t>
            </w:r>
            <w:r w:rsidRPr="00366C72">
              <w:rPr>
                <w:rFonts w:ascii="Arial Narrow" w:hAnsi="Arial Narrow" w:cstheme="minorHAnsi"/>
              </w:rPr>
              <w:t>prijímateľ</w:t>
            </w:r>
            <w:r w:rsidR="004F448E" w:rsidRPr="00366C72">
              <w:rPr>
                <w:rFonts w:ascii="Arial Narrow" w:hAnsi="Arial Narrow" w:cstheme="minorHAnsi"/>
              </w:rPr>
              <w:t>a</w:t>
            </w:r>
          </w:p>
          <w:p w:rsidR="008B341E" w:rsidRPr="00366C72" w:rsidRDefault="008B341E" w:rsidP="008B341E">
            <w:pPr>
              <w:spacing w:after="0" w:line="240" w:lineRule="auto"/>
              <w:ind w:left="425"/>
              <w:jc w:val="both"/>
              <w:rPr>
                <w:rFonts w:ascii="Arial Narrow" w:hAnsi="Arial Narrow" w:cstheme="minorHAnsi"/>
              </w:rPr>
            </w:pPr>
            <w:r w:rsidRPr="00366C72">
              <w:rPr>
                <w:rFonts w:ascii="Arial Narrow" w:hAnsi="Arial Narrow" w:cstheme="minorHAnsi"/>
              </w:rPr>
              <w:t xml:space="preserve">*v zmysle Stratégie financovania Európskych štrukturálnych a investičných fondov pre programové obdobie </w:t>
            </w:r>
          </w:p>
          <w:p w:rsidR="008B341E" w:rsidRPr="00366C72" w:rsidRDefault="008B341E" w:rsidP="008B341E">
            <w:pPr>
              <w:rPr>
                <w:rFonts w:ascii="Arial Narrow" w:hAnsi="Arial Narrow" w:cstheme="minorHAnsi"/>
              </w:rPr>
            </w:pPr>
            <w:r w:rsidRPr="00366C72">
              <w:rPr>
                <w:rFonts w:ascii="Arial Narrow" w:hAnsi="Arial Narrow" w:cstheme="minorHAnsi"/>
              </w:rPr>
              <w:t xml:space="preserve">         2014 – 2020, časť 2.1, písm. a)</w:t>
            </w:r>
          </w:p>
        </w:tc>
      </w:tr>
    </w:tbl>
    <w:p w:rsidR="00B237AE" w:rsidRPr="00366C72"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366C72" w:rsidTr="0001092D">
        <w:tc>
          <w:tcPr>
            <w:tcW w:w="9288" w:type="dxa"/>
            <w:shd w:val="clear" w:color="auto" w:fill="D9D9D9" w:themeFill="background1" w:themeFillShade="D9"/>
          </w:tcPr>
          <w:p w:rsidR="004F448E" w:rsidRPr="00366C72" w:rsidRDefault="004F448E" w:rsidP="00F1589B">
            <w:pPr>
              <w:numPr>
                <w:ilvl w:val="1"/>
                <w:numId w:val="1"/>
              </w:numPr>
              <w:spacing w:before="120" w:after="120" w:line="240" w:lineRule="auto"/>
              <w:ind w:left="425" w:hanging="431"/>
              <w:rPr>
                <w:rFonts w:ascii="Arial Narrow" w:hAnsi="Arial Narrow" w:cstheme="minorHAnsi"/>
              </w:rPr>
            </w:pPr>
            <w:r w:rsidRPr="00366C72">
              <w:rPr>
                <w:rFonts w:ascii="Arial Narrow" w:hAnsi="Arial Narrow" w:cstheme="minorHAnsi"/>
                <w:b/>
              </w:rPr>
              <w:t>Časový harmonogram konania o ŽoNFP</w:t>
            </w:r>
          </w:p>
        </w:tc>
      </w:tr>
      <w:tr w:rsidR="004F448E" w:rsidRPr="005768FA" w:rsidTr="0001092D">
        <w:trPr>
          <w:trHeight w:val="561"/>
        </w:trPr>
        <w:tc>
          <w:tcPr>
            <w:tcW w:w="9288" w:type="dxa"/>
            <w:shd w:val="clear" w:color="auto" w:fill="auto"/>
          </w:tcPr>
          <w:p w:rsidR="00455A94" w:rsidRPr="00366C72" w:rsidRDefault="00455A94" w:rsidP="00455A94">
            <w:pPr>
              <w:pStyle w:val="Default"/>
              <w:spacing w:before="120"/>
              <w:jc w:val="both"/>
              <w:rPr>
                <w:rFonts w:ascii="Arial Narrow" w:hAnsi="Arial Narrow"/>
                <w:color w:val="auto"/>
                <w:sz w:val="22"/>
                <w:szCs w:val="22"/>
              </w:rPr>
            </w:pPr>
            <w:r w:rsidRPr="00366C72">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rsidR="00172140" w:rsidRPr="00366C72" w:rsidRDefault="00172140" w:rsidP="00172140">
            <w:pPr>
              <w:pStyle w:val="Default"/>
              <w:spacing w:before="120"/>
              <w:jc w:val="both"/>
              <w:rPr>
                <w:rFonts w:ascii="Arial Narrow" w:hAnsi="Arial Narrow"/>
                <w:sz w:val="22"/>
                <w:szCs w:val="22"/>
              </w:rPr>
            </w:pPr>
            <w:r w:rsidRPr="00366C72">
              <w:rPr>
                <w:rFonts w:ascii="Arial Narrow" w:hAnsi="Arial Narrow"/>
                <w:b/>
                <w:sz w:val="22"/>
                <w:szCs w:val="22"/>
              </w:rPr>
              <w:t>Konanie o veľkom projekte</w:t>
            </w:r>
            <w:r w:rsidRPr="00366C72">
              <w:rPr>
                <w:rFonts w:ascii="Arial Narrow" w:hAnsi="Arial Narrow"/>
                <w:sz w:val="22"/>
                <w:szCs w:val="22"/>
              </w:rPr>
              <w:t xml:space="preserve"> začína doručením ŽoNFP na adresu RO OPII. </w:t>
            </w:r>
          </w:p>
          <w:p w:rsidR="00172140" w:rsidRPr="00366C72" w:rsidRDefault="00172140" w:rsidP="00172140">
            <w:pPr>
              <w:pStyle w:val="Default"/>
              <w:spacing w:before="120"/>
              <w:jc w:val="both"/>
              <w:rPr>
                <w:rFonts w:ascii="Arial Narrow" w:hAnsi="Arial Narrow"/>
                <w:sz w:val="22"/>
                <w:szCs w:val="22"/>
              </w:rPr>
            </w:pPr>
            <w:r w:rsidRPr="00366C72">
              <w:rPr>
                <w:rFonts w:ascii="Arial Narrow" w:hAnsi="Arial Narrow"/>
                <w:sz w:val="22"/>
                <w:szCs w:val="22"/>
                <w:u w:val="single"/>
              </w:rPr>
              <w:t>Ak veľký projekt nespĺňa podmienky</w:t>
            </w:r>
            <w:r w:rsidRPr="00366C72">
              <w:rPr>
                <w:rFonts w:ascii="Arial Narrow" w:hAnsi="Arial Narrow"/>
                <w:sz w:val="22"/>
                <w:szCs w:val="22"/>
              </w:rPr>
              <w:t xml:space="preserve"> určené vo vyzvaní, alebo ak nastane niektorá z podmienok uvedených v § 20 ods. 1 zákona o príspevku z EŠIF, RO OPII </w:t>
            </w:r>
            <w:r w:rsidRPr="00366C72">
              <w:rPr>
                <w:rFonts w:ascii="Arial Narrow" w:hAnsi="Arial Narrow"/>
                <w:b/>
                <w:bCs/>
                <w:sz w:val="22"/>
                <w:szCs w:val="22"/>
              </w:rPr>
              <w:t xml:space="preserve">do 70 pracovných dní od predloženia ŽoNFP </w:t>
            </w:r>
            <w:r w:rsidRPr="00366C72">
              <w:rPr>
                <w:rFonts w:ascii="Arial Narrow" w:hAnsi="Arial Narrow"/>
                <w:sz w:val="22"/>
                <w:szCs w:val="22"/>
              </w:rPr>
              <w:t xml:space="preserve">rozhodne o neschválení ŽoNFP alebo o zastavení konania. </w:t>
            </w:r>
            <w:r w:rsidRPr="00366C72">
              <w:rPr>
                <w:rFonts w:ascii="Arial Narrow" w:hAnsi="Arial Narrow"/>
                <w:bCs/>
                <w:sz w:val="22"/>
                <w:szCs w:val="22"/>
              </w:rPr>
              <w:t xml:space="preserve">Za dátum predloženia ŽoNFP sa považuje dátum podania ŽoNFP </w:t>
            </w:r>
            <w:r w:rsidRPr="00366C72">
              <w:rPr>
                <w:rFonts w:ascii="Arial Narrow" w:hAnsi="Arial Narrow"/>
                <w:sz w:val="22"/>
                <w:szCs w:val="22"/>
              </w:rPr>
              <w:t>do elektronickej schránky poskytovateľa, dátum odovzdania ŽoNFP do podateľne RO OPII, alebo dátum odovzdania ŽoNFP na poštovú, resp. inú prepravu (napr. kuriérom)</w:t>
            </w:r>
            <w:r w:rsidRPr="00366C72">
              <w:rPr>
                <w:rFonts w:ascii="Arial Narrow" w:hAnsi="Arial Narrow"/>
                <w:bCs/>
                <w:sz w:val="22"/>
                <w:szCs w:val="22"/>
              </w:rPr>
              <w:t xml:space="preserve">. </w:t>
            </w:r>
            <w:r w:rsidRPr="00366C72">
              <w:rPr>
                <w:rFonts w:ascii="Arial Narrow" w:hAnsi="Arial Narrow"/>
                <w:sz w:val="22"/>
                <w:szCs w:val="22"/>
              </w:rPr>
              <w:t>Do lehoty sa nezapočítava doba potrebná na predloženie chýbajúcich náležitostí zo strany žiadateľa.</w:t>
            </w:r>
          </w:p>
          <w:p w:rsidR="00172140" w:rsidRPr="00366C72" w:rsidRDefault="00172140" w:rsidP="00172140">
            <w:pPr>
              <w:pStyle w:val="Default"/>
              <w:spacing w:before="120"/>
              <w:jc w:val="both"/>
              <w:rPr>
                <w:rFonts w:ascii="Arial Narrow" w:hAnsi="Arial Narrow"/>
                <w:sz w:val="22"/>
                <w:szCs w:val="22"/>
              </w:rPr>
            </w:pPr>
            <w:r w:rsidRPr="00366C72">
              <w:rPr>
                <w:rFonts w:ascii="Arial Narrow" w:hAnsi="Arial Narrow"/>
                <w:sz w:val="22"/>
                <w:szCs w:val="22"/>
                <w:u w:val="single"/>
              </w:rPr>
              <w:t>Ak veľký projekt spĺňa podmienky</w:t>
            </w:r>
            <w:r w:rsidRPr="00366C72">
              <w:rPr>
                <w:rFonts w:ascii="Arial Narrow" w:hAnsi="Arial Narrow"/>
                <w:sz w:val="22"/>
                <w:szCs w:val="22"/>
              </w:rPr>
              <w:t xml:space="preserve"> poskytnutia príspevku určené vo vyzvaní, RO OPII predloží Informáciu o veľkom projekte, resp. Oznámenie vybraného veľkého projektu </w:t>
            </w:r>
            <w:r w:rsidRPr="00366C72">
              <w:rPr>
                <w:rFonts w:ascii="Arial Narrow" w:hAnsi="Arial Narrow"/>
                <w:i/>
                <w:sz w:val="22"/>
                <w:szCs w:val="22"/>
              </w:rPr>
              <w:t xml:space="preserve"> komisii</w:t>
            </w:r>
            <w:r w:rsidRPr="00366C72">
              <w:rPr>
                <w:rFonts w:ascii="Arial Narrow" w:hAnsi="Arial Narrow"/>
                <w:sz w:val="22"/>
                <w:szCs w:val="22"/>
              </w:rPr>
              <w:t xml:space="preserve"> a po prijatí rozhodnutia EK informuje žiadateľa o schválení alebo zamietnutí veľkého projektu. Lehoty EK na prijatie rozhodnutia o schválení finančného príspevku na veľký projekt sú uvedené v článku 102 nariadenia (EÚ) č. 1303/2013. V prípade, ak z objektívnych dôvodov nebude môcť byť ukončené konanie o ŽoNFP vo vyššie uvedenom termíne, je RO OPII, </w:t>
            </w:r>
            <w:r w:rsidRPr="00366C72">
              <w:rPr>
                <w:rFonts w:ascii="Arial Narrow" w:hAnsi="Arial Narrow"/>
                <w:sz w:val="22"/>
                <w:szCs w:val="22"/>
              </w:rPr>
              <w:lastRenderedPageBreak/>
              <w:t>za predpokladu udelenia výnimky CKO z maximálnej dĺžky schvaľovacieho procesu v súlade s kapitolou 1.2, ods. 3, písm. d) Systému riadenia EŠIF, oprávnený predĺžiť lehotu na vydanie rozhodnutia.</w:t>
            </w:r>
          </w:p>
          <w:p w:rsidR="00253F01" w:rsidRPr="00366C72" w:rsidRDefault="00253F01" w:rsidP="00172140">
            <w:pPr>
              <w:pStyle w:val="Default"/>
              <w:rPr>
                <w:rFonts w:ascii="Arial Narrow" w:hAnsi="Arial Narrow"/>
                <w:b/>
                <w:sz w:val="22"/>
                <w:szCs w:val="22"/>
              </w:rPr>
            </w:pPr>
          </w:p>
          <w:p w:rsidR="00172140" w:rsidRPr="00366C72" w:rsidRDefault="00172140" w:rsidP="00172140">
            <w:pPr>
              <w:pStyle w:val="Default"/>
              <w:rPr>
                <w:rFonts w:ascii="Arial Narrow" w:hAnsi="Arial Narrow"/>
              </w:rPr>
            </w:pPr>
            <w:r w:rsidRPr="00366C72">
              <w:rPr>
                <w:rFonts w:ascii="Arial Narrow" w:hAnsi="Arial Narrow"/>
                <w:b/>
                <w:sz w:val="22"/>
                <w:szCs w:val="22"/>
              </w:rPr>
              <w:t>Proces uzavretia zmluvy o poskytnutí NFP</w:t>
            </w:r>
            <w:r w:rsidRPr="00366C72">
              <w:rPr>
                <w:rFonts w:ascii="Arial Narrow" w:hAnsi="Arial Narrow"/>
                <w:sz w:val="22"/>
                <w:szCs w:val="22"/>
              </w:rPr>
              <w:t xml:space="preserve"> vo vzťahu k schválenému veľkému projektu začína zaslaním písomnej informácie žiadateľovi o schválení veľkého projektu Európskou komisiou alebo pred týmto zaslaním, ak sa RO OPII rozhodne uzavrieť zmluvu o poskytnutí NFP so žiadateľom pred rozhodnutím EK o potvrdení alebo nepotvrdení pomoci podľa § 27 ods. 8 zákona o príspevku z EŠIF. V tom prípade RO OPII </w:t>
            </w:r>
            <w:r w:rsidRPr="00366C72">
              <w:rPr>
                <w:rFonts w:ascii="Arial Narrow" w:hAnsi="Arial Narrow"/>
                <w:b/>
                <w:bCs/>
                <w:sz w:val="22"/>
                <w:szCs w:val="22"/>
              </w:rPr>
              <w:t xml:space="preserve">do 70 pracovných dní od predloženia ŽoNFP </w:t>
            </w:r>
            <w:r w:rsidRPr="00366C72">
              <w:rPr>
                <w:rFonts w:ascii="Arial Narrow" w:hAnsi="Arial Narrow"/>
                <w:sz w:val="22"/>
                <w:szCs w:val="22"/>
              </w:rPr>
              <w:t>informuje žiadateľa o splnení hodnotiacich kritérií. Následne RO OPII predloží  Informáciu o veľkom projekte, resp. Oznámenie vybraného veľkého projektu Komisii. Do lehoty sa nezapočítava doba potrebná na predloženie chýbajúcich náležitostí zo strany žiadateľa. V prípade využitia tejto možnosti je súčasťou zmluvy o poskytnutí NFP aj povinnosť vrátenia už poskytnutých finančných prostriedkov, resp. úprava výšky poskytnutej pomoci v prípade nepotvrdenia pomoci zo strany EK alebo potvrdenia pomoci v nižšej výške, ako bolo uvedené v Informácií o veľkom projekte, resp. Oznámení vybraného veľkého projektu.</w:t>
            </w:r>
            <w:r w:rsidRPr="00366C72">
              <w:rPr>
                <w:rFonts w:ascii="Arial Narrow" w:hAnsi="Arial Narrow"/>
              </w:rPr>
              <w:t xml:space="preserve"> </w:t>
            </w:r>
          </w:p>
          <w:p w:rsidR="00025BA7" w:rsidRPr="00366C72" w:rsidRDefault="00025BA7" w:rsidP="00025BA7">
            <w:pPr>
              <w:pStyle w:val="Default"/>
              <w:spacing w:before="120"/>
              <w:jc w:val="both"/>
              <w:rPr>
                <w:rFonts w:ascii="Arial Narrow" w:hAnsi="Arial Narrow"/>
                <w:color w:val="auto"/>
                <w:sz w:val="22"/>
                <w:szCs w:val="22"/>
              </w:rPr>
            </w:pPr>
            <w:r w:rsidRPr="00366C72">
              <w:rPr>
                <w:rFonts w:ascii="Arial Narrow" w:hAnsi="Arial Narrow"/>
                <w:color w:val="auto"/>
                <w:sz w:val="22"/>
                <w:szCs w:val="22"/>
              </w:rPr>
              <w:t xml:space="preserve">V prípade, ak z objektívnych dôvodov nebude môcť byť ukončené konanie o ŽoNFP vo vyššie uvedenom termíne, je RO OPII, za predpokladu udelenia výnimky CKO z maximálnej dĺžky schvaľovacieho procesu v súlade s kapitolou 1.2, ods. 3, písm. d) Systému riadenia EŠIF, oprávnený predĺžiť lehotu na vydanie rozhodnutia. </w:t>
            </w:r>
          </w:p>
          <w:p w:rsidR="0080378E" w:rsidRPr="00D45093" w:rsidRDefault="00455A94" w:rsidP="00455A94">
            <w:pPr>
              <w:pStyle w:val="Default"/>
              <w:spacing w:before="120"/>
              <w:jc w:val="both"/>
              <w:rPr>
                <w:rFonts w:ascii="Arial Narrow" w:hAnsi="Arial Narrow"/>
                <w:color w:val="auto"/>
                <w:sz w:val="22"/>
                <w:szCs w:val="22"/>
              </w:rPr>
            </w:pPr>
            <w:r w:rsidRPr="00366C72">
              <w:rPr>
                <w:rFonts w:ascii="Arial Narrow" w:hAnsi="Arial Narrow"/>
                <w:color w:val="auto"/>
                <w:sz w:val="22"/>
                <w:szCs w:val="22"/>
              </w:rPr>
              <w:t>Podrobnosti o procese schvaľovania ŽoNFP sú uvedené v Príručke pre žiadateľa</w:t>
            </w:r>
            <w:r w:rsidRPr="00366C72">
              <w:rPr>
                <w:rFonts w:ascii="Arial Narrow" w:hAnsi="Arial Narrow"/>
                <w:bCs/>
                <w:color w:val="auto"/>
                <w:sz w:val="22"/>
                <w:szCs w:val="22"/>
              </w:rPr>
              <w:t xml:space="preserve"> o poskytnutie nenávratného finančného príspevku pre prioritné osi 1 až 6 OPII</w:t>
            </w:r>
            <w:r w:rsidRPr="00366C72">
              <w:rPr>
                <w:rFonts w:ascii="Arial Narrow" w:hAnsi="Arial Narrow"/>
                <w:b/>
                <w:bCs/>
                <w:color w:val="auto"/>
                <w:sz w:val="22"/>
                <w:szCs w:val="22"/>
              </w:rPr>
              <w:t xml:space="preserve"> </w:t>
            </w:r>
            <w:r w:rsidRPr="00366C72">
              <w:rPr>
                <w:rFonts w:ascii="Arial Narrow" w:hAnsi="Arial Narrow"/>
                <w:bCs/>
                <w:color w:val="auto"/>
                <w:sz w:val="22"/>
                <w:szCs w:val="22"/>
              </w:rPr>
              <w:t>(ďalej aj „Príručka pre žiadateľa“).</w:t>
            </w:r>
          </w:p>
        </w:tc>
      </w:tr>
      <w:tr w:rsidR="00C9602A" w:rsidRPr="005768FA" w:rsidTr="009228F1">
        <w:tc>
          <w:tcPr>
            <w:tcW w:w="9288" w:type="dxa"/>
            <w:shd w:val="clear" w:color="auto" w:fill="D9D9D9" w:themeFill="background1" w:themeFillShade="D9"/>
          </w:tcPr>
          <w:p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rsidTr="009228F1">
        <w:trPr>
          <w:trHeight w:val="561"/>
        </w:trPr>
        <w:tc>
          <w:tcPr>
            <w:tcW w:w="9288" w:type="dxa"/>
            <w:shd w:val="clear" w:color="auto" w:fill="auto"/>
          </w:tcPr>
          <w:p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rsidR="00455A94" w:rsidRPr="00830F33" w:rsidRDefault="00455A94" w:rsidP="00455A94">
            <w:pPr>
              <w:pStyle w:val="Zkladntext"/>
              <w:spacing w:before="120" w:after="0"/>
              <w:ind w:left="709"/>
              <w:jc w:val="both"/>
              <w:rPr>
                <w:rFonts w:ascii="Arial Narrow" w:hAnsi="Arial Narrow" w:cs="Calibri"/>
                <w:b/>
                <w:i/>
                <w:sz w:val="22"/>
                <w:szCs w:val="22"/>
              </w:rPr>
            </w:pPr>
          </w:p>
          <w:p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rsidR="004212C8" w:rsidRPr="00366C72"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w:t>
            </w:r>
            <w:r w:rsidRPr="00366C72">
              <w:rPr>
                <w:rFonts w:ascii="Arial Narrow" w:hAnsi="Arial Narrow" w:cs="Arial"/>
                <w:color w:val="000000"/>
                <w:lang w:eastAsia="sk-SK"/>
              </w:rPr>
              <w:t>úplnosti žiadosti alebo jej príloh, RO OPII oznámi tieto pochybnosti žiadateľovi a vyzve ho, aby sa k nim vyjadril v primeranej lehote</w:t>
            </w:r>
            <w:r w:rsidR="0028370D" w:rsidRPr="00366C72">
              <w:rPr>
                <w:rFonts w:ascii="Arial Narrow" w:hAnsi="Arial Narrow" w:cs="Arial"/>
                <w:color w:val="000000"/>
                <w:lang w:eastAsia="sk-SK"/>
              </w:rPr>
              <w:t>, ktorá nesmie byť kratšia ako päť pracovných dní od doručenia oznámenia poskytovateľa</w:t>
            </w:r>
            <w:r w:rsidRPr="00366C72">
              <w:rPr>
                <w:rFonts w:ascii="Arial Narrow" w:hAnsi="Arial Narrow" w:cs="Arial"/>
                <w:color w:val="000000"/>
                <w:lang w:eastAsia="sk-SK"/>
              </w:rPr>
              <w:t xml:space="preserve">, pričom ho poučí o následkoch spojených s neodstránením pochybností alebo nedodržaním určenej lehoty. </w:t>
            </w:r>
          </w:p>
          <w:p w:rsidR="004212C8" w:rsidRPr="00450B6F" w:rsidRDefault="004212C8" w:rsidP="004212C8">
            <w:pPr>
              <w:spacing w:before="120" w:after="0" w:line="240" w:lineRule="auto"/>
              <w:jc w:val="both"/>
              <w:rPr>
                <w:rFonts w:ascii="Arial Narrow" w:hAnsi="Arial Narrow" w:cs="Arial"/>
                <w:b/>
              </w:rPr>
            </w:pPr>
            <w:r w:rsidRPr="00366C72">
              <w:rPr>
                <w:rFonts w:ascii="Arial Narrow" w:hAnsi="Arial Narrow"/>
                <w:b/>
              </w:rPr>
              <w:t>V prípade, ak žiadateľ tieto pochybnosti neodstráni</w:t>
            </w:r>
            <w:r w:rsidRPr="00BB5C67">
              <w:rPr>
                <w:rFonts w:ascii="Arial Narrow" w:hAnsi="Arial Narrow"/>
                <w:b/>
              </w:rPr>
              <w:t xml:space="preserve"> v určenej lehote</w:t>
            </w:r>
            <w:r w:rsidRPr="001923F7">
              <w:rPr>
                <w:rFonts w:ascii="Arial Narrow" w:hAnsi="Arial Narrow"/>
                <w:b/>
              </w:rPr>
              <w:t>, RO OPII zastaví konanie o žiado</w:t>
            </w:r>
            <w:r>
              <w:rPr>
                <w:rFonts w:ascii="Arial Narrow" w:hAnsi="Arial Narrow"/>
                <w:b/>
              </w:rPr>
              <w:t xml:space="preserve">sti v </w:t>
            </w:r>
            <w:r>
              <w:rPr>
                <w:rFonts w:ascii="Arial Narrow" w:hAnsi="Arial Narrow"/>
                <w:b/>
              </w:rPr>
              <w:lastRenderedPageBreak/>
              <w:t>zmysle § 20 ods. 1 písm. d</w:t>
            </w:r>
            <w:r w:rsidRPr="001923F7">
              <w:rPr>
                <w:rFonts w:ascii="Arial Narrow" w:hAnsi="Arial Narrow"/>
                <w:b/>
              </w:rPr>
              <w:t>) zákona o príspevku z EŠIF a o tejto skutočnosti informuje žiadateľa.</w:t>
            </w:r>
          </w:p>
        </w:tc>
      </w:tr>
    </w:tbl>
    <w:p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rsidTr="009228F1">
        <w:tc>
          <w:tcPr>
            <w:tcW w:w="9288" w:type="dxa"/>
            <w:shd w:val="clear" w:color="auto" w:fill="D9D9D9" w:themeFill="background1" w:themeFillShade="D9"/>
          </w:tcPr>
          <w:p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rsidTr="009228F1">
        <w:trPr>
          <w:trHeight w:val="561"/>
        </w:trPr>
        <w:tc>
          <w:tcPr>
            <w:tcW w:w="9288" w:type="dxa"/>
            <w:shd w:val="clear" w:color="auto" w:fill="auto"/>
          </w:tcPr>
          <w:p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rsidR="009228F1" w:rsidRPr="009202F9" w:rsidRDefault="005D667C" w:rsidP="000D08CF">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w:t>
            </w:r>
            <w:r w:rsidR="000D08CF">
              <w:rPr>
                <w:rFonts w:ascii="Arial Narrow" w:hAnsi="Arial Narrow"/>
                <w:color w:val="auto"/>
                <w:sz w:val="22"/>
                <w:szCs w:val="22"/>
              </w:rPr>
              <w:t>7</w:t>
            </w:r>
            <w:r w:rsidRPr="00D748D1">
              <w:rPr>
                <w:rFonts w:ascii="Arial Narrow" w:hAnsi="Arial Narrow"/>
                <w:color w:val="auto"/>
                <w:sz w:val="22"/>
                <w:szCs w:val="22"/>
              </w:rPr>
              <w:t xml:space="preserve"> ods. </w:t>
            </w:r>
            <w:r w:rsidR="000D08CF">
              <w:rPr>
                <w:rFonts w:ascii="Arial Narrow" w:hAnsi="Arial Narrow"/>
                <w:color w:val="auto"/>
                <w:sz w:val="22"/>
                <w:szCs w:val="22"/>
              </w:rPr>
              <w:t>2</w:t>
            </w:r>
            <w:r w:rsidRPr="00D748D1">
              <w:rPr>
                <w:rFonts w:ascii="Arial Narrow" w:hAnsi="Arial Narrow"/>
                <w:color w:val="auto"/>
                <w:sz w:val="22"/>
                <w:szCs w:val="22"/>
              </w:rPr>
              <w:t xml:space="preserve"> zákona o príspevku z EŠIF, RO OPII pri príprave </w:t>
            </w:r>
            <w:r w:rsidR="000D08CF">
              <w:rPr>
                <w:rFonts w:ascii="Arial Narrow" w:hAnsi="Arial Narrow"/>
                <w:color w:val="auto"/>
                <w:sz w:val="22"/>
                <w:szCs w:val="22"/>
              </w:rPr>
              <w:t>veľkého</w:t>
            </w:r>
            <w:r w:rsidRPr="00D748D1">
              <w:rPr>
                <w:rFonts w:ascii="Arial Narrow" w:hAnsi="Arial Narrow"/>
                <w:color w:val="auto"/>
                <w:sz w:val="22"/>
                <w:szCs w:val="22"/>
              </w:rPr>
              <w:t xml:space="preserve"> projektu môže usmerňovať budúceho žiadateľa; budúci žiadateľ je povinný tieto usmernenia dodržiavať.</w:t>
            </w:r>
          </w:p>
        </w:tc>
      </w:tr>
    </w:tbl>
    <w:p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rsidR="00C052F3" w:rsidRPr="00366C72"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366C72">
              <w:rPr>
                <w:rFonts w:ascii="Arial Narrow" w:hAnsi="Arial Narrow" w:cs="Arial"/>
                <w:color w:val="000000"/>
                <w:lang w:eastAsia="sk-SK"/>
              </w:rPr>
              <w:t xml:space="preserve">Podmienky poskytnutia príspevku predstavujú súbor podmienok overovaných RO OPII v procese </w:t>
            </w:r>
            <w:r w:rsidR="00916C25" w:rsidRPr="00366C72">
              <w:rPr>
                <w:rFonts w:ascii="Arial Narrow" w:hAnsi="Arial Narrow" w:cs="Arial"/>
                <w:color w:val="000000"/>
                <w:lang w:eastAsia="sk-SK"/>
              </w:rPr>
              <w:t>konania</w:t>
            </w:r>
            <w:r w:rsidRPr="00366C72">
              <w:rPr>
                <w:rFonts w:ascii="Arial Narrow" w:hAnsi="Arial Narrow" w:cs="Arial"/>
                <w:color w:val="000000"/>
                <w:lang w:eastAsia="sk-SK"/>
              </w:rPr>
              <w:t xml:space="preserve"> o </w:t>
            </w:r>
            <w:r w:rsidR="00156B90" w:rsidRPr="00366C72">
              <w:rPr>
                <w:rFonts w:ascii="Arial Narrow" w:hAnsi="Arial Narrow" w:cs="Arial"/>
                <w:color w:val="000000"/>
                <w:lang w:eastAsia="sk-SK"/>
              </w:rPr>
              <w:t xml:space="preserve">ŽoNFP </w:t>
            </w:r>
            <w:r w:rsidRPr="00366C72">
              <w:rPr>
                <w:rFonts w:ascii="Arial Narrow" w:hAnsi="Arial Narrow" w:cs="Arial"/>
                <w:color w:val="000000"/>
                <w:lang w:eastAsia="sk-SK"/>
              </w:rPr>
              <w:t>podľa</w:t>
            </w:r>
            <w:r w:rsidR="00916C25" w:rsidRPr="00366C72">
              <w:rPr>
                <w:rFonts w:ascii="Arial Narrow" w:hAnsi="Arial Narrow" w:cs="Arial"/>
                <w:color w:val="000000"/>
                <w:lang w:eastAsia="sk-SK"/>
              </w:rPr>
              <w:t xml:space="preserve"> § </w:t>
            </w:r>
            <w:r w:rsidR="005040FA" w:rsidRPr="00366C72">
              <w:rPr>
                <w:rFonts w:ascii="Arial Narrow" w:hAnsi="Arial Narrow" w:cs="Arial"/>
                <w:color w:val="000000"/>
                <w:lang w:eastAsia="sk-SK"/>
              </w:rPr>
              <w:t>27</w:t>
            </w:r>
            <w:r w:rsidR="00916C25" w:rsidRPr="00366C72">
              <w:rPr>
                <w:rFonts w:ascii="Arial Narrow" w:hAnsi="Arial Narrow" w:cs="Arial"/>
                <w:color w:val="000000"/>
                <w:lang w:eastAsia="sk-SK"/>
              </w:rPr>
              <w:t xml:space="preserve"> zákona o príspevku z EŠIF,</w:t>
            </w:r>
            <w:r w:rsidRPr="00366C72">
              <w:rPr>
                <w:rFonts w:ascii="Arial Narrow" w:hAnsi="Arial Narrow" w:cs="Arial"/>
                <w:color w:val="000000"/>
                <w:lang w:eastAsia="sk-SK"/>
              </w:rPr>
              <w:t xml:space="preserve"> </w:t>
            </w:r>
            <w:r w:rsidR="00E75079" w:rsidRPr="00366C72">
              <w:rPr>
                <w:rFonts w:ascii="Arial Narrow" w:hAnsi="Arial Narrow" w:cs="Arial"/>
                <w:color w:val="000000"/>
                <w:lang w:eastAsia="sk-SK"/>
              </w:rPr>
              <w:t>v procese uzatvárania zmluvy o poskytnutí NFP</w:t>
            </w:r>
            <w:r w:rsidR="006E148B" w:rsidRPr="00366C72">
              <w:rPr>
                <w:rFonts w:ascii="Arial Narrow" w:hAnsi="Arial Narrow" w:cs="Arial"/>
                <w:color w:val="000000"/>
                <w:lang w:eastAsia="sk-SK"/>
              </w:rPr>
              <w:t>,</w:t>
            </w:r>
            <w:r w:rsidR="00E75079" w:rsidRPr="00366C72">
              <w:rPr>
                <w:rFonts w:ascii="Arial Narrow" w:hAnsi="Arial Narrow" w:cs="Arial"/>
                <w:color w:val="000000"/>
                <w:lang w:eastAsia="sk-SK"/>
              </w:rPr>
              <w:t xml:space="preserve"> </w:t>
            </w:r>
            <w:r w:rsidRPr="00366C72">
              <w:rPr>
                <w:rFonts w:ascii="Arial Narrow" w:hAnsi="Arial Narrow" w:cs="Arial"/>
                <w:color w:val="000000"/>
                <w:lang w:eastAsia="sk-SK"/>
              </w:rPr>
              <w:t>a</w:t>
            </w:r>
            <w:r w:rsidR="00916C25" w:rsidRPr="00366C72">
              <w:rPr>
                <w:rFonts w:ascii="Arial Narrow" w:hAnsi="Arial Narrow" w:cs="Arial"/>
                <w:color w:val="000000"/>
                <w:lang w:eastAsia="sk-SK"/>
              </w:rPr>
              <w:t>ko</w:t>
            </w:r>
            <w:r w:rsidRPr="00366C72">
              <w:rPr>
                <w:rFonts w:ascii="Arial Narrow" w:hAnsi="Arial Narrow" w:cs="Arial"/>
                <w:color w:val="000000"/>
                <w:lang w:eastAsia="sk-SK"/>
              </w:rPr>
              <w:t xml:space="preserve"> aj počas platnosti a účinnosti </w:t>
            </w:r>
            <w:r w:rsidR="00916C25" w:rsidRPr="00366C72">
              <w:rPr>
                <w:rFonts w:ascii="Arial Narrow" w:hAnsi="Arial Narrow" w:cs="Arial"/>
                <w:color w:val="000000"/>
                <w:lang w:eastAsia="sk-SK"/>
              </w:rPr>
              <w:t>z</w:t>
            </w:r>
            <w:r w:rsidRPr="00366C72">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rsidR="000C3A95" w:rsidRPr="000C3A95" w:rsidRDefault="000C3A95" w:rsidP="000C3A95">
            <w:pPr>
              <w:spacing w:before="120" w:after="0" w:line="240" w:lineRule="auto"/>
              <w:jc w:val="both"/>
              <w:rPr>
                <w:rFonts w:ascii="Arial Narrow" w:hAnsi="Arial Narrow"/>
              </w:rPr>
            </w:pPr>
            <w:r w:rsidRPr="00366C72">
              <w:rPr>
                <w:rFonts w:ascii="Arial Narrow" w:hAnsi="Arial Narrow"/>
              </w:rPr>
              <w:t xml:space="preserve">Na to, aby mohlo dôjsť k schváleniu </w:t>
            </w:r>
            <w:r w:rsidR="00156B90" w:rsidRPr="00366C72">
              <w:rPr>
                <w:rFonts w:ascii="Arial Narrow" w:hAnsi="Arial Narrow"/>
              </w:rPr>
              <w:t>Ž</w:t>
            </w:r>
            <w:r w:rsidRPr="00366C72">
              <w:rPr>
                <w:rFonts w:ascii="Arial Narrow" w:hAnsi="Arial Narrow"/>
              </w:rPr>
              <w:t>oNFP</w:t>
            </w:r>
            <w:r w:rsidR="006E148B" w:rsidRPr="00366C72">
              <w:rPr>
                <w:rFonts w:ascii="Arial Narrow" w:hAnsi="Arial Narrow"/>
              </w:rPr>
              <w:t>,</w:t>
            </w:r>
            <w:r w:rsidRPr="00366C72">
              <w:rPr>
                <w:rFonts w:ascii="Arial Narrow" w:hAnsi="Arial Narrow"/>
              </w:rPr>
              <w:t xml:space="preserve"> musia byť splnené všetky nižšie uvedené podmienky poskytnutia príspevku a zároveň nemôže byť daný dôvod na zastavenie konania podľa § 20 zákona o príspevku z EŠIF (napr. z dôvodu</w:t>
            </w:r>
            <w:r w:rsidRPr="000C3A95">
              <w:rPr>
                <w:rFonts w:ascii="Arial Narrow" w:hAnsi="Arial Narrow"/>
              </w:rPr>
              <w:t xml:space="preserve"> neúplnosti ŽoNFP).</w:t>
            </w:r>
          </w:p>
          <w:p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rsidTr="00F863CD">
        <w:trPr>
          <w:trHeight w:val="20"/>
        </w:trPr>
        <w:tc>
          <w:tcPr>
            <w:tcW w:w="9524" w:type="dxa"/>
            <w:gridSpan w:val="5"/>
            <w:shd w:val="clear" w:color="auto" w:fill="D9D9D9" w:themeFill="background1" w:themeFillShade="D9"/>
          </w:tcPr>
          <w:p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rsidTr="00F863CD">
        <w:trPr>
          <w:trHeight w:val="20"/>
        </w:trPr>
        <w:tc>
          <w:tcPr>
            <w:tcW w:w="674" w:type="dxa"/>
            <w:shd w:val="clear" w:color="auto" w:fill="D9D9D9" w:themeFill="background1" w:themeFillShade="D9"/>
            <w:vAlign w:val="center"/>
          </w:tcPr>
          <w:p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rsidTr="00F863CD">
        <w:trPr>
          <w:trHeight w:val="20"/>
        </w:trPr>
        <w:tc>
          <w:tcPr>
            <w:tcW w:w="674" w:type="dxa"/>
            <w:shd w:val="clear" w:color="auto" w:fill="D9D9D9" w:themeFill="background1" w:themeFillShade="D9"/>
          </w:tcPr>
          <w:p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rsidR="008B341E" w:rsidRDefault="008B341E" w:rsidP="008B341E">
            <w:pPr>
              <w:spacing w:before="120" w:after="0" w:line="240" w:lineRule="auto"/>
              <w:jc w:val="both"/>
              <w:rPr>
                <w:rFonts w:ascii="Arial Narrow" w:hAnsi="Arial Narrow"/>
                <w:b/>
              </w:rPr>
            </w:pPr>
            <w:r>
              <w:rPr>
                <w:rFonts w:ascii="Arial Narrow" w:hAnsi="Arial Narrow"/>
                <w:b/>
              </w:rPr>
              <w:t>Železnice Slovenskej republiky</w:t>
            </w:r>
          </w:p>
          <w:p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rsidTr="00F863CD">
        <w:trPr>
          <w:trHeight w:val="20"/>
        </w:trPr>
        <w:tc>
          <w:tcPr>
            <w:tcW w:w="674" w:type="dxa"/>
            <w:shd w:val="clear" w:color="auto" w:fill="D9D9D9" w:themeFill="background1" w:themeFillShade="D9"/>
          </w:tcPr>
          <w:p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 xml:space="preserve">Podmienka zákazu </w:t>
            </w:r>
            <w:r w:rsidRPr="00C83866">
              <w:rPr>
                <w:rFonts w:ascii="Arial Narrow" w:hAnsi="Arial Narrow"/>
                <w:b/>
                <w:bCs/>
                <w:color w:val="auto"/>
                <w:sz w:val="22"/>
                <w:szCs w:val="22"/>
              </w:rPr>
              <w:lastRenderedPageBreak/>
              <w:t>vedenia  výkonu rozhodnutia voči žiadateľovi</w:t>
            </w:r>
          </w:p>
          <w:p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rsidR="00D47F6D" w:rsidRPr="00D47F6D" w:rsidRDefault="00D47F6D" w:rsidP="00D47F6D">
            <w:pPr>
              <w:pStyle w:val="Default"/>
              <w:spacing w:before="120"/>
              <w:jc w:val="both"/>
              <w:rPr>
                <w:rFonts w:ascii="Arial Narrow" w:hAnsi="Arial Narrow"/>
                <w:color w:val="auto"/>
                <w:sz w:val="22"/>
                <w:szCs w:val="22"/>
              </w:rPr>
            </w:pPr>
            <w:r w:rsidRPr="00D47F6D">
              <w:rPr>
                <w:rFonts w:ascii="Arial Narrow" w:hAnsi="Arial Narrow"/>
                <w:color w:val="auto"/>
                <w:sz w:val="22"/>
                <w:szCs w:val="22"/>
              </w:rPr>
              <w:lastRenderedPageBreak/>
              <w:t xml:space="preserve">Voči žiadateľovi nesmie byť vedený výkon rozhodnutia, ktorý priamo alebo </w:t>
            </w:r>
            <w:r w:rsidRPr="00D47F6D">
              <w:rPr>
                <w:rFonts w:ascii="Arial Narrow" w:hAnsi="Arial Narrow"/>
                <w:color w:val="auto"/>
                <w:sz w:val="22"/>
                <w:szCs w:val="22"/>
              </w:rPr>
              <w:lastRenderedPageBreak/>
              <w:t>nepriamo súvisí s projektom, ktorý je predmetom ŽoNFP.</w:t>
            </w:r>
          </w:p>
          <w:p w:rsidR="004A0630" w:rsidRPr="00C83866" w:rsidRDefault="00D47F6D" w:rsidP="00D47F6D">
            <w:pPr>
              <w:pStyle w:val="Default"/>
              <w:spacing w:before="120"/>
              <w:jc w:val="both"/>
              <w:rPr>
                <w:rFonts w:ascii="Arial Narrow" w:hAnsi="Arial Narrow"/>
                <w:color w:val="auto"/>
                <w:sz w:val="20"/>
                <w:szCs w:val="20"/>
              </w:rPr>
            </w:pPr>
            <w:r w:rsidRPr="00D47F6D">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rsidTr="00F863CD">
        <w:trPr>
          <w:trHeight w:val="20"/>
        </w:trPr>
        <w:tc>
          <w:tcPr>
            <w:tcW w:w="674" w:type="dxa"/>
            <w:shd w:val="clear" w:color="auto" w:fill="D9D9D9" w:themeFill="background1" w:themeFillShade="D9"/>
          </w:tcPr>
          <w:p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rsidTr="00F863CD">
        <w:trPr>
          <w:trHeight w:val="20"/>
        </w:trPr>
        <w:tc>
          <w:tcPr>
            <w:tcW w:w="674" w:type="dxa"/>
            <w:shd w:val="clear" w:color="auto" w:fill="D9D9D9" w:themeFill="background1" w:themeFillShade="D9"/>
          </w:tcPr>
          <w:p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rsidTr="00F863CD">
        <w:trPr>
          <w:trHeight w:val="20"/>
        </w:trPr>
        <w:tc>
          <w:tcPr>
            <w:tcW w:w="674" w:type="dxa"/>
            <w:shd w:val="clear" w:color="auto" w:fill="D9D9D9" w:themeFill="background1" w:themeFillShade="D9"/>
          </w:tcPr>
          <w:p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rsidTr="00F863CD">
        <w:trPr>
          <w:trHeight w:val="20"/>
        </w:trPr>
        <w:tc>
          <w:tcPr>
            <w:tcW w:w="674" w:type="dxa"/>
            <w:shd w:val="clear" w:color="auto" w:fill="D9D9D9" w:themeFill="background1" w:themeFillShade="D9"/>
          </w:tcPr>
          <w:p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 xml:space="preserve">Podmienka, že žiadateľ nie je evidovaný v </w:t>
            </w:r>
            <w:r w:rsidRPr="00F840A0">
              <w:rPr>
                <w:rFonts w:ascii="Arial Narrow" w:hAnsi="Arial Narrow"/>
                <w:b/>
                <w:bCs/>
                <w:color w:val="auto"/>
                <w:sz w:val="22"/>
                <w:szCs w:val="22"/>
              </w:rPr>
              <w:lastRenderedPageBreak/>
              <w:t>Systéme včasného odhaľovania rizika a vylúčenia (EDES) ako vylúčená osoba alebo subjekt (v zmysle článku 135 a nasledujúcich nariadenia č. 2018/1046).</w:t>
            </w:r>
          </w:p>
        </w:tc>
        <w:tc>
          <w:tcPr>
            <w:tcW w:w="6349" w:type="dxa"/>
            <w:gridSpan w:val="3"/>
            <w:shd w:val="clear" w:color="auto" w:fill="auto"/>
          </w:tcPr>
          <w:p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lastRenderedPageBreak/>
              <w:t xml:space="preserve">V zmysle článku 135, odsek 1 nariadenia č. 2018/1046 EK zriadila a prevádzkuje systém včasného odhaľovania rizika a vylúčenia (EDES). V </w:t>
            </w:r>
            <w:r w:rsidRPr="00F840A0">
              <w:rPr>
                <w:rFonts w:ascii="Arial Narrow" w:hAnsi="Arial Narrow"/>
                <w:sz w:val="22"/>
                <w:szCs w:val="22"/>
              </w:rPr>
              <w:lastRenderedPageBreak/>
              <w:t>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28353B">
              <w:rPr>
                <w:rFonts w:ascii="Arial Narrow" w:hAnsi="Arial Narrow"/>
                <w:b/>
                <w:color w:val="auto"/>
                <w:sz w:val="22"/>
                <w:szCs w:val="22"/>
              </w:rPr>
              <w:t>1.1</w:t>
            </w:r>
            <w:r w:rsidR="00E602FB" w:rsidRPr="00E602FB">
              <w:rPr>
                <w:rFonts w:ascii="Arial Narrow" w:hAnsi="Arial Narrow"/>
                <w:b/>
                <w:color w:val="auto"/>
                <w:sz w:val="22"/>
                <w:szCs w:val="22"/>
              </w:rPr>
              <w:t xml:space="preserve"> </w:t>
            </w:r>
            <w:r w:rsidR="0028353B" w:rsidRPr="0028353B">
              <w:rPr>
                <w:rFonts w:ascii="Arial Narrow" w:hAnsi="Arial Narrow"/>
                <w:b/>
                <w:color w:val="auto"/>
                <w:sz w:val="22"/>
                <w:szCs w:val="22"/>
              </w:rPr>
              <w:t>Odstránenie kľúčových úzkych miest na železničnej infraštruktúre prostredníctvom modernizácie a rozvoja hlavných železničných tratí a uzlov dopravne významných z hľadiska medzinárodnej a vnútroštátnej dopravy</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rsidR="005A015D" w:rsidRPr="00D44DB6" w:rsidRDefault="0028353B" w:rsidP="005A015D">
            <w:pPr>
              <w:pStyle w:val="Default"/>
              <w:spacing w:before="120"/>
              <w:jc w:val="both"/>
              <w:rPr>
                <w:rFonts w:ascii="Arial Narrow" w:hAnsi="Arial Narrow"/>
                <w:b/>
                <w:color w:val="auto"/>
                <w:sz w:val="22"/>
                <w:szCs w:val="22"/>
              </w:rPr>
            </w:pPr>
            <w:r>
              <w:rPr>
                <w:rFonts w:ascii="Arial Narrow" w:hAnsi="Arial Narrow"/>
                <w:b/>
                <w:color w:val="auto"/>
                <w:sz w:val="22"/>
                <w:szCs w:val="22"/>
              </w:rPr>
              <w:t>A</w:t>
            </w:r>
            <w:r w:rsidR="00E602FB" w:rsidRPr="00E602FB">
              <w:rPr>
                <w:rFonts w:ascii="Arial Narrow" w:hAnsi="Arial Narrow"/>
                <w:b/>
                <w:color w:val="auto"/>
                <w:sz w:val="22"/>
                <w:szCs w:val="22"/>
              </w:rPr>
              <w:t xml:space="preserve">. </w:t>
            </w:r>
            <w:r w:rsidRPr="0028353B">
              <w:rPr>
                <w:rFonts w:ascii="Arial Narrow" w:hAnsi="Arial Narrow"/>
                <w:b/>
                <w:color w:val="auto"/>
                <w:sz w:val="22"/>
                <w:szCs w:val="22"/>
              </w:rPr>
              <w:t>Modernizácia železničných tratí (zlepšovanie vybraných technických parametrov železničnej dopravnej cesty)</w:t>
            </w:r>
            <w:r w:rsidR="005A015D" w:rsidRPr="004A0630">
              <w:rPr>
                <w:rFonts w:ascii="Arial Narrow" w:hAnsi="Arial Narrow"/>
                <w:b/>
                <w:color w:val="auto"/>
                <w:sz w:val="22"/>
                <w:szCs w:val="22"/>
              </w:rPr>
              <w:t>.</w:t>
            </w:r>
          </w:p>
          <w:p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2"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rsidR="005A015D" w:rsidRPr="00F1589B" w:rsidRDefault="005A015D" w:rsidP="005A015D">
            <w:pPr>
              <w:pStyle w:val="Default"/>
              <w:jc w:val="both"/>
              <w:rPr>
                <w:rFonts w:ascii="Arial Narrow" w:hAnsi="Arial Narrow" w:cstheme="minorHAnsi"/>
                <w:sz w:val="22"/>
                <w:szCs w:val="22"/>
              </w:rPr>
            </w:pP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rsidR="005A015D" w:rsidRPr="008F26C8" w:rsidRDefault="0028353B" w:rsidP="00DD57FF">
            <w:pPr>
              <w:spacing w:after="0" w:line="240" w:lineRule="auto"/>
              <w:jc w:val="both"/>
              <w:rPr>
                <w:rFonts w:ascii="Arial Narrow" w:hAnsi="Arial Narrow"/>
                <w:color w:val="FF0000"/>
              </w:rPr>
            </w:pPr>
            <w:r>
              <w:rPr>
                <w:rFonts w:ascii="Arial Narrow" w:hAnsi="Arial Narrow"/>
                <w:b/>
              </w:rPr>
              <w:t>Žilinský</w:t>
            </w:r>
            <w:r w:rsidR="00DD57FF" w:rsidRPr="00DD57FF">
              <w:rPr>
                <w:rFonts w:ascii="Arial Narrow" w:hAnsi="Arial Narrow"/>
                <w:b/>
              </w:rPr>
              <w:t xml:space="preserve"> </w:t>
            </w:r>
            <w:r w:rsidR="00E602FB" w:rsidRPr="00E602FB">
              <w:rPr>
                <w:rFonts w:ascii="Arial Narrow" w:hAnsi="Arial Narrow"/>
                <w:b/>
              </w:rPr>
              <w:t>kraj</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rsidR="005A015D" w:rsidRPr="008F26C8" w:rsidRDefault="005A015D" w:rsidP="0074375A">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74375A">
              <w:rPr>
                <w:rFonts w:ascii="Arial Narrow" w:hAnsi="Arial Narrow"/>
              </w:rPr>
              <w:t>neschválení</w:t>
            </w:r>
            <w:r w:rsidR="0074375A" w:rsidRPr="00D45093">
              <w:rPr>
                <w:rFonts w:ascii="Arial Narrow" w:hAnsi="Arial Narrow"/>
              </w:rPr>
              <w:t xml:space="preserve"> </w:t>
            </w:r>
            <w:r w:rsidRPr="00D45093">
              <w:rPr>
                <w:rFonts w:ascii="Arial Narrow" w:hAnsi="Arial Narrow"/>
              </w:rPr>
              <w:t xml:space="preserve">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rsidR="005A015D" w:rsidRPr="00DF0D6B" w:rsidRDefault="005A015D" w:rsidP="005A015D">
            <w:pPr>
              <w:pStyle w:val="Default"/>
              <w:ind w:left="318"/>
              <w:jc w:val="both"/>
              <w:rPr>
                <w:rFonts w:ascii="Arial Narrow" w:hAnsi="Arial Narrow" w:cstheme="minorHAnsi"/>
                <w:sz w:val="22"/>
                <w:szCs w:val="22"/>
              </w:rPr>
            </w:pP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7A7387" w:rsidRPr="00954355" w:rsidTr="00F863CD">
        <w:trPr>
          <w:trHeight w:val="20"/>
        </w:trPr>
        <w:tc>
          <w:tcPr>
            <w:tcW w:w="674" w:type="dxa"/>
            <w:shd w:val="clear" w:color="auto" w:fill="D9D9D9" w:themeFill="background1" w:themeFillShade="D9"/>
          </w:tcPr>
          <w:p w:rsidR="007A7387" w:rsidRPr="00626FE8" w:rsidRDefault="007A738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7A7387" w:rsidRPr="00DF6198" w:rsidRDefault="0028353B" w:rsidP="00A31398">
            <w:pPr>
              <w:pStyle w:val="Default"/>
              <w:spacing w:before="120"/>
              <w:rPr>
                <w:rFonts w:ascii="Arial Narrow" w:hAnsi="Arial Narrow"/>
                <w:b/>
                <w:bCs/>
                <w:color w:val="auto"/>
                <w:sz w:val="22"/>
                <w:szCs w:val="22"/>
              </w:rPr>
            </w:pPr>
            <w:r w:rsidRPr="0028353B">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rsidR="0028353B" w:rsidRPr="0028353B" w:rsidRDefault="0028353B" w:rsidP="0028353B">
            <w:pPr>
              <w:spacing w:before="120" w:after="0" w:line="240" w:lineRule="auto"/>
              <w:jc w:val="both"/>
              <w:rPr>
                <w:rFonts w:ascii="Arial Narrow" w:hAnsi="Arial Narrow"/>
              </w:rPr>
            </w:pPr>
            <w:r w:rsidRPr="0028353B">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rsidR="007A7387" w:rsidRPr="00DF6198" w:rsidRDefault="0028353B" w:rsidP="0028353B">
            <w:pPr>
              <w:spacing w:before="120" w:after="0" w:line="240" w:lineRule="auto"/>
              <w:jc w:val="both"/>
              <w:rPr>
                <w:rFonts w:ascii="Arial Narrow" w:hAnsi="Arial Narrow"/>
              </w:rPr>
            </w:pPr>
            <w:r w:rsidRPr="0028353B">
              <w:rPr>
                <w:rFonts w:ascii="Arial Narrow" w:hAnsi="Arial Narrow"/>
              </w:rPr>
              <w:t xml:space="preserve">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w:t>
            </w:r>
            <w:r w:rsidRPr="0028353B">
              <w:rPr>
                <w:rFonts w:ascii="Arial Narrow" w:hAnsi="Arial Narrow"/>
              </w:rPr>
              <w:lastRenderedPageBreak/>
              <w:t>sú potrebné dokladovať ani pre projekty realizované v zmysle procesu žltej knihy FIDIC (Zmluvné podmienky pre technologické zariadenie a projektovanie - realizáciu).</w:t>
            </w:r>
          </w:p>
        </w:tc>
      </w:tr>
      <w:tr w:rsidR="0028353B" w:rsidRPr="00954355" w:rsidTr="00F863CD">
        <w:trPr>
          <w:trHeight w:val="20"/>
        </w:trPr>
        <w:tc>
          <w:tcPr>
            <w:tcW w:w="674" w:type="dxa"/>
            <w:shd w:val="clear" w:color="auto" w:fill="D9D9D9" w:themeFill="background1" w:themeFillShade="D9"/>
          </w:tcPr>
          <w:p w:rsidR="0028353B" w:rsidRPr="00626FE8"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DF6198" w:rsidRDefault="0028353B" w:rsidP="0028353B">
            <w:pPr>
              <w:pStyle w:val="Default"/>
              <w:spacing w:before="120"/>
              <w:rPr>
                <w:rFonts w:ascii="Arial Narrow" w:hAnsi="Arial Narrow"/>
                <w:b/>
                <w:bCs/>
                <w:color w:val="auto"/>
                <w:sz w:val="22"/>
                <w:szCs w:val="22"/>
              </w:rPr>
            </w:pPr>
            <w:r w:rsidRPr="007A7387">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rsidR="0028353B" w:rsidRPr="007A7387" w:rsidRDefault="0028353B" w:rsidP="0028353B">
            <w:pPr>
              <w:spacing w:before="120" w:after="0" w:line="240" w:lineRule="auto"/>
              <w:jc w:val="both"/>
              <w:rPr>
                <w:rFonts w:ascii="Arial Narrow" w:hAnsi="Arial Narrow"/>
              </w:rPr>
            </w:pPr>
            <w:r w:rsidRPr="007A7387">
              <w:rPr>
                <w:rFonts w:ascii="Arial Narrow" w:hAnsi="Arial Narrow"/>
              </w:rPr>
              <w:t xml:space="preserve">Projekt, ktorý je predmetom ŽoNFP, musí byť v súlade s požiadavkami v oblasti posudzovania vplyvov navrhovanej činnosti, najmä so zákonom o posudzovaní vplyvov . </w:t>
            </w:r>
          </w:p>
          <w:p w:rsidR="0028353B" w:rsidRPr="007A7387" w:rsidRDefault="0028353B" w:rsidP="0028353B">
            <w:pPr>
              <w:spacing w:before="120" w:after="0" w:line="240" w:lineRule="auto"/>
              <w:jc w:val="both"/>
              <w:rPr>
                <w:rFonts w:ascii="Arial Narrow" w:hAnsi="Arial Narrow"/>
              </w:rPr>
            </w:pPr>
            <w:r w:rsidRPr="007A7387">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rsidR="0028353B" w:rsidRPr="00DF6198" w:rsidRDefault="0028353B" w:rsidP="0028353B">
            <w:pPr>
              <w:spacing w:before="120" w:after="0" w:line="240" w:lineRule="auto"/>
              <w:jc w:val="both"/>
              <w:rPr>
                <w:rFonts w:ascii="Arial Narrow" w:hAnsi="Arial Narrow"/>
              </w:rPr>
            </w:pPr>
            <w:r w:rsidRPr="007A7387">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28353B" w:rsidRPr="00954355" w:rsidTr="00F863CD">
        <w:trPr>
          <w:trHeight w:val="20"/>
        </w:trPr>
        <w:tc>
          <w:tcPr>
            <w:tcW w:w="674" w:type="dxa"/>
            <w:shd w:val="clear" w:color="auto" w:fill="D9D9D9" w:themeFill="background1" w:themeFillShade="D9"/>
          </w:tcPr>
          <w:p w:rsidR="0028353B" w:rsidRPr="00626FE8"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7A7387" w:rsidRDefault="0028353B" w:rsidP="0028353B">
            <w:pPr>
              <w:pStyle w:val="Default"/>
              <w:spacing w:before="120"/>
              <w:rPr>
                <w:rFonts w:ascii="Arial Narrow" w:hAnsi="Arial Narrow"/>
                <w:b/>
                <w:bCs/>
                <w:color w:val="auto"/>
                <w:sz w:val="22"/>
                <w:szCs w:val="22"/>
              </w:rPr>
            </w:pPr>
            <w:r w:rsidRPr="0031087B">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rsidR="0028353B" w:rsidRPr="007A7387" w:rsidRDefault="0028353B" w:rsidP="0028353B">
            <w:pPr>
              <w:spacing w:before="120" w:after="0" w:line="240" w:lineRule="auto"/>
              <w:jc w:val="both"/>
              <w:rPr>
                <w:rFonts w:ascii="Arial Narrow" w:hAnsi="Arial Narrow"/>
              </w:rPr>
            </w:pPr>
            <w:r w:rsidRPr="0031087B">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28353B" w:rsidRPr="00954355" w:rsidTr="00F863CD">
        <w:trPr>
          <w:trHeight w:val="20"/>
        </w:trPr>
        <w:tc>
          <w:tcPr>
            <w:tcW w:w="674" w:type="dxa"/>
            <w:shd w:val="clear" w:color="auto" w:fill="D9D9D9" w:themeFill="background1" w:themeFillShade="D9"/>
          </w:tcPr>
          <w:p w:rsidR="0028353B" w:rsidRPr="00626FE8"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DF6198" w:rsidRDefault="0028353B" w:rsidP="0028353B">
            <w:pPr>
              <w:pStyle w:val="Default"/>
              <w:spacing w:before="120"/>
              <w:rPr>
                <w:rFonts w:ascii="Arial Narrow" w:hAnsi="Arial Narrow"/>
                <w:b/>
                <w:bCs/>
                <w:color w:val="auto"/>
                <w:sz w:val="22"/>
                <w:szCs w:val="22"/>
              </w:rPr>
            </w:pPr>
            <w:r w:rsidRPr="007A7387">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rsidR="0028353B" w:rsidRPr="00DF6198" w:rsidRDefault="0028353B" w:rsidP="0028353B">
            <w:pPr>
              <w:spacing w:before="120" w:after="0" w:line="240" w:lineRule="auto"/>
              <w:jc w:val="both"/>
              <w:rPr>
                <w:rFonts w:ascii="Arial Narrow" w:hAnsi="Arial Narrow"/>
              </w:rPr>
            </w:pPr>
            <w:r w:rsidRPr="007A7387">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28353B" w:rsidRPr="00954355" w:rsidTr="00F863CD">
        <w:trPr>
          <w:trHeight w:val="20"/>
        </w:trPr>
        <w:tc>
          <w:tcPr>
            <w:tcW w:w="674" w:type="dxa"/>
            <w:shd w:val="clear" w:color="auto" w:fill="D9D9D9" w:themeFill="background1" w:themeFillShade="D9"/>
          </w:tcPr>
          <w:p w:rsidR="0028353B" w:rsidRPr="00626FE8"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DF6198" w:rsidRDefault="0028353B" w:rsidP="0028353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rsidR="0028353B" w:rsidRDefault="0028353B" w:rsidP="0028353B">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rsidR="0028353B" w:rsidRPr="00DF6198" w:rsidRDefault="0028353B" w:rsidP="0028353B">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DF6198" w:rsidRDefault="0028353B" w:rsidP="0028353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rsidR="0028353B" w:rsidRPr="00DF6198" w:rsidRDefault="0028353B" w:rsidP="0028353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F1589B" w:rsidRDefault="0028353B" w:rsidP="0028353B">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rsidR="0028353B" w:rsidRPr="00D45093" w:rsidRDefault="0028353B" w:rsidP="0028353B">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Default="003852E5" w:rsidP="0028353B">
            <w:pPr>
              <w:pStyle w:val="Default"/>
              <w:spacing w:before="120"/>
              <w:rPr>
                <w:rFonts w:ascii="Arial Narrow" w:hAnsi="Arial Narrow"/>
                <w:b/>
                <w:bCs/>
                <w:sz w:val="22"/>
                <w:szCs w:val="22"/>
              </w:rPr>
            </w:pPr>
            <w:r w:rsidRPr="003852E5">
              <w:rPr>
                <w:rFonts w:ascii="Arial Narrow" w:hAnsi="Arial Narrow"/>
                <w:b/>
                <w:bCs/>
                <w:sz w:val="22"/>
                <w:szCs w:val="22"/>
              </w:rPr>
              <w:t>Podmienka, že pre stavby dopravnej infraštruktúry je vykonaná rezortná alebo štátna expertíza</w:t>
            </w:r>
          </w:p>
        </w:tc>
        <w:tc>
          <w:tcPr>
            <w:tcW w:w="6339" w:type="dxa"/>
            <w:gridSpan w:val="2"/>
            <w:shd w:val="clear" w:color="auto" w:fill="auto"/>
          </w:tcPr>
          <w:p w:rsidR="003852E5" w:rsidRPr="003852E5" w:rsidRDefault="003852E5" w:rsidP="003852E5">
            <w:pPr>
              <w:spacing w:before="120" w:after="0" w:line="240" w:lineRule="auto"/>
              <w:jc w:val="both"/>
              <w:rPr>
                <w:rFonts w:ascii="Arial Narrow" w:hAnsi="Arial Narrow"/>
              </w:rPr>
            </w:pPr>
            <w:r w:rsidRPr="003852E5">
              <w:rPr>
                <w:rFonts w:ascii="Arial Narrow" w:hAnsi="Arial Narrow"/>
              </w:rPr>
              <w:t xml:space="preserve">K stavbám dopravnej infraštruktúry v pôsobnosti MDV SR, ktorých celková cena je nižšia ako cena uvedená v § 9 ods. 7 zákona č. 254/1998 Z. z. o verejných prácach </w:t>
            </w:r>
            <w:proofErr w:type="spellStart"/>
            <w:r w:rsidRPr="003852E5">
              <w:rPr>
                <w:rFonts w:ascii="Arial Narrow" w:hAnsi="Arial Narrow"/>
              </w:rPr>
              <w:t>v.z.n.p</w:t>
            </w:r>
            <w:proofErr w:type="spellEnd"/>
            <w:r w:rsidRPr="003852E5">
              <w:rPr>
                <w:rFonts w:ascii="Arial Narrow" w:hAnsi="Arial Narrow"/>
              </w:rPr>
              <w:t>., žiadateľ predkladá protokol o vykonaní rezortnej expertízy vypracovaný v zmysle Metodického pokynu MDV SR č. 11/2013 na vykonávanie expertíznych činností, spolu s aktualizáciou údajov expertízy do cenovej úrovne aktuálneho roka. Žiadateľ predloží aj presný prepočet s informáciou odkiaľ čerpal údaje k prepočtu.</w:t>
            </w:r>
          </w:p>
          <w:p w:rsidR="003852E5" w:rsidRPr="003852E5" w:rsidRDefault="003852E5" w:rsidP="003852E5">
            <w:pPr>
              <w:spacing w:before="120" w:after="0" w:line="240" w:lineRule="auto"/>
              <w:jc w:val="both"/>
              <w:rPr>
                <w:rFonts w:ascii="Arial Narrow" w:hAnsi="Arial Narrow"/>
              </w:rPr>
            </w:pPr>
            <w:r w:rsidRPr="003852E5">
              <w:rPr>
                <w:rFonts w:ascii="Arial Narrow" w:hAnsi="Arial Narrow"/>
              </w:rPr>
              <w:t xml:space="preserve">Ak ide o verejnú prácu v zmysle zákona č. 254/1998 Z. z. o verejných prácach </w:t>
            </w:r>
            <w:proofErr w:type="spellStart"/>
            <w:r w:rsidRPr="003852E5">
              <w:rPr>
                <w:rFonts w:ascii="Arial Narrow" w:hAnsi="Arial Narrow"/>
              </w:rPr>
              <w:t>v.z.n.p</w:t>
            </w:r>
            <w:proofErr w:type="spellEnd"/>
            <w:r w:rsidRPr="003852E5">
              <w:rPr>
                <w:rFonts w:ascii="Arial Narrow" w:hAnsi="Arial Narrow"/>
              </w:rPr>
              <w:t xml:space="preserve">., žiadateľ je povinný predložiť protokol o vykonaní štátnej expertízy spolu s aktualizáciou údajov expertízy do cenovej úrovne aktuálneho roka. Žiadateľ predloží aj presný prepočet s informáciou, odkiaľ čerpal údaje k prepočtu. </w:t>
            </w:r>
          </w:p>
          <w:p w:rsidR="0028353B" w:rsidRDefault="003852E5" w:rsidP="0028353B">
            <w:pPr>
              <w:spacing w:before="120" w:after="0" w:line="240" w:lineRule="auto"/>
              <w:jc w:val="both"/>
              <w:rPr>
                <w:rFonts w:ascii="Arial Narrow" w:hAnsi="Arial Narrow"/>
              </w:rPr>
            </w:pPr>
            <w:r w:rsidRPr="003852E5">
              <w:rPr>
                <w:rFonts w:ascii="Arial Narrow" w:hAnsi="Arial Narrow"/>
              </w:rPr>
              <w:t xml:space="preserve">Štátna expertíza sa vykonáva podľa § 10 zákona č. 254/1998 Z. z. o verejných prácach </w:t>
            </w:r>
            <w:proofErr w:type="spellStart"/>
            <w:r w:rsidRPr="003852E5">
              <w:rPr>
                <w:rFonts w:ascii="Arial Narrow" w:hAnsi="Arial Narrow"/>
              </w:rPr>
              <w:t>v.z.n.p</w:t>
            </w:r>
            <w:proofErr w:type="spellEnd"/>
            <w:r w:rsidRPr="003852E5">
              <w:rPr>
                <w:rFonts w:ascii="Arial Narrow" w:hAnsi="Arial Narrow"/>
              </w:rPr>
              <w:t xml:space="preserve">. posúdením stavebného zámeru v zmysle § 9 zákona č. 254/1998 Z. z. o verejných prácach </w:t>
            </w:r>
            <w:proofErr w:type="spellStart"/>
            <w:r w:rsidRPr="003852E5">
              <w:rPr>
                <w:rFonts w:ascii="Arial Narrow" w:hAnsi="Arial Narrow"/>
              </w:rPr>
              <w:t>v.z.n.p</w:t>
            </w:r>
            <w:proofErr w:type="spellEnd"/>
            <w:r w:rsidRPr="003852E5">
              <w:rPr>
                <w:rFonts w:ascii="Arial Narrow" w:hAnsi="Arial Narrow"/>
              </w:rPr>
              <w:t>.</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8F26C8" w:rsidRDefault="0028353B" w:rsidP="0028353B">
            <w:pPr>
              <w:pStyle w:val="Default"/>
              <w:spacing w:before="120"/>
              <w:rPr>
                <w:rFonts w:ascii="Arial Narrow" w:hAnsi="Arial Narrow"/>
                <w:b/>
                <w:bCs/>
                <w:sz w:val="22"/>
                <w:szCs w:val="22"/>
              </w:rPr>
            </w:pPr>
            <w:r w:rsidRPr="007A7387">
              <w:rPr>
                <w:rFonts w:ascii="Arial Narrow" w:hAnsi="Arial Narrow"/>
                <w:b/>
                <w:bCs/>
                <w:sz w:val="22"/>
                <w:szCs w:val="22"/>
              </w:rPr>
              <w:t>Podmienka, že žiadateľ má vypracovanú štúdiu realizovateľnosti</w:t>
            </w:r>
          </w:p>
        </w:tc>
        <w:tc>
          <w:tcPr>
            <w:tcW w:w="6339" w:type="dxa"/>
            <w:gridSpan w:val="2"/>
            <w:shd w:val="clear" w:color="auto" w:fill="auto"/>
          </w:tcPr>
          <w:p w:rsidR="0028353B" w:rsidRPr="007A7387" w:rsidRDefault="0028353B" w:rsidP="0028353B">
            <w:pPr>
              <w:spacing w:before="120" w:after="0" w:line="240" w:lineRule="auto"/>
              <w:jc w:val="both"/>
              <w:rPr>
                <w:rFonts w:ascii="Arial Narrow" w:hAnsi="Arial Narrow"/>
              </w:rPr>
            </w:pPr>
            <w:r w:rsidRPr="007A7387">
              <w:rPr>
                <w:rFonts w:ascii="Arial Narrow" w:hAnsi="Arial Narrow"/>
              </w:rPr>
              <w:t>V zmysle schváleného dokumentu OPII  n</w:t>
            </w:r>
            <w:r w:rsidRPr="007A7387">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7A7387">
              <w:rPr>
                <w:rFonts w:ascii="Arial Narrow" w:hAnsi="Arial Narrow"/>
              </w:rPr>
              <w:t xml:space="preserve">Štúdia má potvrdiť správnosť navrhovaného riešenia, a to z dopravného, technického, ekonomického a environmentálneho hľadiska.  </w:t>
            </w:r>
          </w:p>
          <w:p w:rsidR="0028353B" w:rsidRPr="008F26C8" w:rsidRDefault="0028353B" w:rsidP="0028353B">
            <w:pPr>
              <w:spacing w:before="120" w:after="0" w:line="240" w:lineRule="auto"/>
              <w:jc w:val="both"/>
              <w:rPr>
                <w:rFonts w:ascii="Arial Narrow" w:hAnsi="Arial Narrow"/>
              </w:rPr>
            </w:pPr>
            <w:r w:rsidRPr="007A7387">
              <w:rPr>
                <w:rFonts w:ascii="Arial Narrow" w:hAnsi="Arial Narrow"/>
              </w:rPr>
              <w:t xml:space="preserve">Žiadateľ pri spracovaní štúdie realizovateľnosti postupuje podľa príslušných ustanovení </w:t>
            </w:r>
            <w:r w:rsidRPr="007A7387">
              <w:rPr>
                <w:rFonts w:ascii="Arial Narrow" w:hAnsi="Arial Narrow"/>
                <w:b/>
              </w:rPr>
              <w:t>Metodického rámca pre vypracovanie štúdie uskutočniteľnosti</w:t>
            </w:r>
            <w:r w:rsidRPr="007A7387">
              <w:rPr>
                <w:rFonts w:ascii="Arial Narrow" w:hAnsi="Arial Narrow"/>
              </w:rPr>
              <w:t xml:space="preserve">, ktorá je zverejnená na webovom sídle OPII </w:t>
            </w:r>
            <w:hyperlink r:id="rId15" w:history="1">
              <w:r w:rsidRPr="007A7387">
                <w:rPr>
                  <w:rStyle w:val="Hypertextovprepojenie"/>
                  <w:rFonts w:ascii="Arial Narrow" w:hAnsi="Arial Narrow"/>
                </w:rPr>
                <w:t>https://www.opii.gov.sk/metodicke-dokumenty/prirucka-cba</w:t>
              </w:r>
            </w:hyperlink>
            <w:r w:rsidRPr="007A7387">
              <w:rPr>
                <w:rFonts w:ascii="Arial Narrow" w:hAnsi="Arial Narrow"/>
              </w:rPr>
              <w:t>.</w:t>
            </w:r>
          </w:p>
        </w:tc>
      </w:tr>
      <w:tr w:rsidR="00AE4717" w:rsidRPr="00954355" w:rsidTr="00F863CD">
        <w:trPr>
          <w:trHeight w:val="20"/>
        </w:trPr>
        <w:tc>
          <w:tcPr>
            <w:tcW w:w="674" w:type="dxa"/>
            <w:shd w:val="clear" w:color="auto" w:fill="D9D9D9" w:themeFill="background1" w:themeFillShade="D9"/>
          </w:tcPr>
          <w:p w:rsidR="00AE4717" w:rsidRPr="00F61671" w:rsidRDefault="00AE4717"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E4717" w:rsidRPr="007A7387" w:rsidRDefault="00AE4717" w:rsidP="0028353B">
            <w:pPr>
              <w:pStyle w:val="Default"/>
              <w:spacing w:before="120"/>
              <w:rPr>
                <w:rFonts w:ascii="Arial Narrow" w:hAnsi="Arial Narrow"/>
                <w:b/>
                <w:bCs/>
                <w:sz w:val="22"/>
                <w:szCs w:val="22"/>
              </w:rPr>
            </w:pPr>
            <w:r w:rsidRPr="00AE4717">
              <w:rPr>
                <w:rFonts w:ascii="Arial Narrow" w:hAnsi="Arial Narrow"/>
                <w:b/>
                <w:bCs/>
                <w:sz w:val="22"/>
                <w:szCs w:val="22"/>
              </w:rPr>
              <w:t>Osobitná podmienka pre žiadateľa realizujúceho veľký projekt</w:t>
            </w:r>
          </w:p>
        </w:tc>
        <w:tc>
          <w:tcPr>
            <w:tcW w:w="6339" w:type="dxa"/>
            <w:gridSpan w:val="2"/>
            <w:shd w:val="clear" w:color="auto" w:fill="auto"/>
          </w:tcPr>
          <w:p w:rsidR="00AE4717" w:rsidRPr="007A7387" w:rsidRDefault="00AE4717" w:rsidP="0028353B">
            <w:pPr>
              <w:spacing w:before="120" w:after="0" w:line="240" w:lineRule="auto"/>
              <w:jc w:val="both"/>
              <w:rPr>
                <w:rFonts w:ascii="Arial Narrow" w:hAnsi="Arial Narrow"/>
              </w:rPr>
            </w:pPr>
            <w:r w:rsidRPr="00AE4717">
              <w:rPr>
                <w:rFonts w:ascii="Arial Narrow" w:hAnsi="Arial Narrow"/>
              </w:rPr>
              <w:t>Nevyhnutnou podmienkou pre priznanie NFP je, aby žiadateľ predložil aj prílohu relevantnú pre veľký projekt.</w:t>
            </w:r>
          </w:p>
        </w:tc>
      </w:tr>
      <w:tr w:rsidR="00AE4717" w:rsidRPr="00954355" w:rsidTr="00F863CD">
        <w:trPr>
          <w:trHeight w:val="20"/>
        </w:trPr>
        <w:tc>
          <w:tcPr>
            <w:tcW w:w="674" w:type="dxa"/>
            <w:shd w:val="clear" w:color="auto" w:fill="D9D9D9" w:themeFill="background1" w:themeFillShade="D9"/>
          </w:tcPr>
          <w:p w:rsidR="00AE4717" w:rsidRPr="00F61671" w:rsidRDefault="00AE4717"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E4717" w:rsidRPr="00AE4717" w:rsidRDefault="00AE4717" w:rsidP="0028353B">
            <w:pPr>
              <w:pStyle w:val="Default"/>
              <w:spacing w:before="120"/>
              <w:rPr>
                <w:rFonts w:ascii="Arial Narrow" w:hAnsi="Arial Narrow"/>
                <w:b/>
                <w:bCs/>
                <w:sz w:val="22"/>
                <w:szCs w:val="22"/>
              </w:rPr>
            </w:pPr>
            <w:r w:rsidRPr="00AE4717">
              <w:rPr>
                <w:rFonts w:ascii="Arial Narrow" w:hAnsi="Arial Narrow"/>
                <w:b/>
                <w:bCs/>
                <w:sz w:val="22"/>
                <w:szCs w:val="22"/>
              </w:rPr>
              <w:t xml:space="preserve">Podmienka, že k veľkému projektu sú vydané JASPERS </w:t>
            </w:r>
            <w:proofErr w:type="spellStart"/>
            <w:r w:rsidRPr="00AE4717">
              <w:rPr>
                <w:rFonts w:ascii="Arial Narrow" w:hAnsi="Arial Narrow"/>
                <w:b/>
                <w:bCs/>
                <w:sz w:val="22"/>
                <w:szCs w:val="22"/>
              </w:rPr>
              <w:t>Action</w:t>
            </w:r>
            <w:proofErr w:type="spellEnd"/>
            <w:r w:rsidRPr="00AE4717">
              <w:rPr>
                <w:rFonts w:ascii="Arial Narrow" w:hAnsi="Arial Narrow"/>
                <w:b/>
                <w:bCs/>
                <w:sz w:val="22"/>
                <w:szCs w:val="22"/>
              </w:rPr>
              <w:t xml:space="preserve"> </w:t>
            </w:r>
            <w:proofErr w:type="spellStart"/>
            <w:r w:rsidRPr="00AE4717">
              <w:rPr>
                <w:rFonts w:ascii="Arial Narrow" w:hAnsi="Arial Narrow"/>
                <w:b/>
                <w:bCs/>
                <w:sz w:val="22"/>
                <w:szCs w:val="22"/>
              </w:rPr>
              <w:lastRenderedPageBreak/>
              <w:t>Completion</w:t>
            </w:r>
            <w:proofErr w:type="spellEnd"/>
            <w:r w:rsidRPr="00AE4717">
              <w:rPr>
                <w:rFonts w:ascii="Arial Narrow" w:hAnsi="Arial Narrow"/>
                <w:b/>
                <w:bCs/>
                <w:sz w:val="22"/>
                <w:szCs w:val="22"/>
              </w:rPr>
              <w:t xml:space="preserve"> Note a Kontrola súladu z posúdenia vplyvov navrhovanej činnosti</w:t>
            </w:r>
          </w:p>
        </w:tc>
        <w:tc>
          <w:tcPr>
            <w:tcW w:w="6339" w:type="dxa"/>
            <w:gridSpan w:val="2"/>
            <w:shd w:val="clear" w:color="auto" w:fill="auto"/>
          </w:tcPr>
          <w:p w:rsidR="00AE4717" w:rsidRPr="00AE4717" w:rsidRDefault="00AE4717" w:rsidP="0028353B">
            <w:pPr>
              <w:spacing w:before="120" w:after="0" w:line="240" w:lineRule="auto"/>
              <w:jc w:val="both"/>
              <w:rPr>
                <w:rFonts w:ascii="Arial Narrow" w:hAnsi="Arial Narrow"/>
              </w:rPr>
            </w:pPr>
            <w:r w:rsidRPr="00AE4717">
              <w:rPr>
                <w:rFonts w:ascii="Arial Narrow" w:hAnsi="Arial Narrow"/>
              </w:rPr>
              <w:lastRenderedPageBreak/>
              <w:t xml:space="preserve">Nevyhnutnou podmienkou pre priznanie NFP je, aby žiadateľ pred predložením ŽoNFP pre veľký projekt preukázal existenciu </w:t>
            </w:r>
            <w:proofErr w:type="spellStart"/>
            <w:r w:rsidRPr="00AE4717">
              <w:rPr>
                <w:rFonts w:ascii="Arial Narrow" w:hAnsi="Arial Narrow"/>
              </w:rPr>
              <w:t>Action</w:t>
            </w:r>
            <w:proofErr w:type="spellEnd"/>
            <w:r w:rsidRPr="00AE4717">
              <w:rPr>
                <w:rFonts w:ascii="Arial Narrow" w:hAnsi="Arial Narrow"/>
              </w:rPr>
              <w:t xml:space="preserve"> </w:t>
            </w:r>
            <w:proofErr w:type="spellStart"/>
            <w:r w:rsidRPr="00AE4717">
              <w:rPr>
                <w:rFonts w:ascii="Arial Narrow" w:hAnsi="Arial Narrow"/>
              </w:rPr>
              <w:t>Completion</w:t>
            </w:r>
            <w:proofErr w:type="spellEnd"/>
            <w:r w:rsidRPr="00AE4717">
              <w:rPr>
                <w:rFonts w:ascii="Arial Narrow" w:hAnsi="Arial Narrow"/>
              </w:rPr>
              <w:t xml:space="preserve"> Note - súhlasné stanovisko JASPERS a záverečného </w:t>
            </w:r>
            <w:r w:rsidRPr="00AE4717">
              <w:rPr>
                <w:rFonts w:ascii="Arial Narrow" w:hAnsi="Arial Narrow"/>
              </w:rPr>
              <w:lastRenderedPageBreak/>
              <w:t>stanoviska z Kontroly súladu z posúdenia vplyvov navrhovanej činnosti.</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Default="0028353B" w:rsidP="0028353B">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rsidR="0028353B" w:rsidRDefault="0028353B" w:rsidP="0028353B">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6"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8F26C8" w:rsidRDefault="0028353B" w:rsidP="0028353B">
            <w:pPr>
              <w:pStyle w:val="Default"/>
              <w:spacing w:before="120"/>
              <w:rPr>
                <w:rFonts w:ascii="Arial Narrow" w:hAnsi="Arial Narrow"/>
                <w:b/>
                <w:bCs/>
                <w:sz w:val="22"/>
                <w:szCs w:val="22"/>
              </w:rPr>
            </w:pPr>
            <w:r w:rsidRPr="007A7387">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rsidR="0028353B" w:rsidRPr="007A7387" w:rsidRDefault="0028353B" w:rsidP="0028353B">
            <w:pPr>
              <w:spacing w:before="120" w:after="0" w:line="240" w:lineRule="auto"/>
              <w:jc w:val="both"/>
              <w:rPr>
                <w:rFonts w:ascii="Arial Narrow" w:hAnsi="Arial Narrow"/>
              </w:rPr>
            </w:pPr>
            <w:r w:rsidRPr="007A7387">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rsidR="0028353B" w:rsidRDefault="0028353B" w:rsidP="0028353B">
            <w:pPr>
              <w:spacing w:before="120" w:after="0" w:line="240" w:lineRule="auto"/>
              <w:jc w:val="both"/>
              <w:rPr>
                <w:rFonts w:ascii="Arial Narrow" w:hAnsi="Arial Narrow"/>
              </w:rPr>
            </w:pPr>
            <w:r w:rsidRPr="007A7387">
              <w:rPr>
                <w:rFonts w:ascii="Arial Narrow" w:hAnsi="Arial Narrow"/>
              </w:rPr>
              <w:t>V prípade projektov, ktoré vytvárajú čistý príjem, sa oprávnenosť výdavkov posudzuje aj s ohľadom na výsledky finančnej časti analýzy nákladov a prínosov (</w:t>
            </w:r>
            <w:proofErr w:type="spellStart"/>
            <w:r w:rsidRPr="007A7387">
              <w:rPr>
                <w:rFonts w:ascii="Arial Narrow" w:hAnsi="Arial Narrow"/>
              </w:rPr>
              <w:t>Cost</w:t>
            </w:r>
            <w:proofErr w:type="spellEnd"/>
            <w:r w:rsidRPr="007A7387">
              <w:rPr>
                <w:rFonts w:ascii="Arial Narrow" w:hAnsi="Arial Narrow"/>
              </w:rPr>
              <w:t xml:space="preserve"> </w:t>
            </w:r>
            <w:proofErr w:type="spellStart"/>
            <w:r w:rsidRPr="007A7387">
              <w:rPr>
                <w:rFonts w:ascii="Arial Narrow" w:hAnsi="Arial Narrow"/>
              </w:rPr>
              <w:t>Benefit</w:t>
            </w:r>
            <w:proofErr w:type="spellEnd"/>
            <w:r w:rsidRPr="007A7387">
              <w:rPr>
                <w:rFonts w:ascii="Arial Narrow" w:hAnsi="Arial Narrow"/>
              </w:rPr>
              <w:t xml:space="preserve"> </w:t>
            </w:r>
            <w:proofErr w:type="spellStart"/>
            <w:r w:rsidRPr="007A7387">
              <w:rPr>
                <w:rFonts w:ascii="Arial Narrow" w:hAnsi="Arial Narrow"/>
              </w:rPr>
              <w:t>Analysis</w:t>
            </w:r>
            <w:proofErr w:type="spellEnd"/>
            <w:r w:rsidRPr="007A7387">
              <w:rPr>
                <w:rFonts w:ascii="Arial Narrow" w:hAnsi="Arial Narrow"/>
              </w:rPr>
              <w:t xml:space="preserve"> - CBA) projektu (žiadateľ predkladá iba elektronicky).</w:t>
            </w:r>
          </w:p>
          <w:p w:rsidR="00AE4717" w:rsidRPr="008F26C8" w:rsidRDefault="00AE4717" w:rsidP="0028353B">
            <w:pPr>
              <w:spacing w:before="120" w:after="0" w:line="240" w:lineRule="auto"/>
              <w:jc w:val="both"/>
              <w:rPr>
                <w:rFonts w:ascii="Arial Narrow" w:hAnsi="Arial Narrow"/>
              </w:rPr>
            </w:pPr>
            <w:r w:rsidRPr="00AE4717">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rsidR="00F65BDA" w:rsidRDefault="00F65BDA" w:rsidP="00F65BDA">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O veľkom projekte môže byť rozhodnuté v súlade s Nariadením Európskeho parlamentu a Rady (EÚ) č. 1303/2013 nasledovne:</w:t>
            </w:r>
          </w:p>
          <w:p w:rsidR="00F65BDA" w:rsidRPr="00366C72" w:rsidRDefault="00F65BDA" w:rsidP="00366C72">
            <w:pPr>
              <w:pStyle w:val="Odsekzoznamu"/>
              <w:numPr>
                <w:ilvl w:val="0"/>
                <w:numId w:val="18"/>
              </w:numPr>
              <w:autoSpaceDE w:val="0"/>
              <w:autoSpaceDN w:val="0"/>
              <w:adjustRightInd w:val="0"/>
              <w:spacing w:before="120"/>
              <w:rPr>
                <w:rFonts w:ascii="Arial Narrow" w:hAnsi="Arial Narrow" w:cs="Arial"/>
                <w:color w:val="000000"/>
              </w:rPr>
            </w:pPr>
            <w:r w:rsidRPr="00366C72">
              <w:rPr>
                <w:rFonts w:ascii="Arial Narrow" w:hAnsi="Arial Narrow" w:cs="Arial"/>
                <w:color w:val="000000"/>
                <w:sz w:val="22"/>
                <w:szCs w:val="22"/>
              </w:rPr>
              <w:t>Rozhodnutím EK o schválení veľkého projektu,</w:t>
            </w:r>
          </w:p>
          <w:p w:rsidR="00F65BDA" w:rsidRPr="00366C72" w:rsidRDefault="00F65BDA" w:rsidP="00366C72">
            <w:pPr>
              <w:pStyle w:val="Odsekzoznamu"/>
              <w:numPr>
                <w:ilvl w:val="0"/>
                <w:numId w:val="18"/>
              </w:numPr>
              <w:autoSpaceDE w:val="0"/>
              <w:autoSpaceDN w:val="0"/>
              <w:adjustRightInd w:val="0"/>
              <w:rPr>
                <w:rFonts w:ascii="Arial Narrow" w:hAnsi="Arial Narrow" w:cs="Arial"/>
                <w:color w:val="000000"/>
              </w:rPr>
            </w:pPr>
            <w:r w:rsidRPr="00366C72">
              <w:rPr>
                <w:rFonts w:ascii="Arial Narrow" w:hAnsi="Arial Narrow" w:cs="Arial"/>
                <w:color w:val="000000"/>
                <w:sz w:val="22"/>
                <w:szCs w:val="22"/>
              </w:rPr>
              <w:t>Rozhodnutím EK o zamietnutí veľkého projektu.</w:t>
            </w:r>
          </w:p>
          <w:p w:rsidR="00327AD2" w:rsidRPr="00327AD2" w:rsidRDefault="00327AD2" w:rsidP="00F65BDA">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O žiadosti o</w:t>
            </w:r>
            <w:r w:rsidR="00F65BDA">
              <w:rPr>
                <w:rFonts w:ascii="Arial Narrow" w:hAnsi="Arial Narrow" w:cs="Arial"/>
                <w:color w:val="000000"/>
                <w:lang w:eastAsia="sk-SK"/>
              </w:rPr>
              <w:t> </w:t>
            </w:r>
            <w:r w:rsidRPr="00327AD2">
              <w:rPr>
                <w:rFonts w:ascii="Arial Narrow" w:hAnsi="Arial Narrow" w:cs="Arial"/>
                <w:color w:val="000000"/>
                <w:lang w:eastAsia="sk-SK"/>
              </w:rPr>
              <w:t>NFP</w:t>
            </w:r>
            <w:r w:rsidR="00F65BDA">
              <w:rPr>
                <w:rFonts w:ascii="Arial Narrow" w:hAnsi="Arial Narrow" w:cs="Arial"/>
                <w:color w:val="000000"/>
                <w:lang w:eastAsia="sk-SK"/>
              </w:rPr>
              <w:t xml:space="preserve">, </w:t>
            </w:r>
            <w:r w:rsidR="00F65BDA" w:rsidRPr="00F65BDA">
              <w:rPr>
                <w:rFonts w:ascii="Arial Narrow" w:hAnsi="Arial Narrow" w:cs="Arial"/>
                <w:color w:val="000000"/>
                <w:lang w:eastAsia="sk-SK"/>
              </w:rPr>
              <w:t>ktorej predmetom je veľký projek</w:t>
            </w:r>
            <w:r w:rsidR="00F65BDA">
              <w:rPr>
                <w:rFonts w:ascii="Arial Narrow" w:hAnsi="Arial Narrow" w:cs="Arial"/>
                <w:color w:val="000000"/>
                <w:lang w:eastAsia="sk-SK"/>
              </w:rPr>
              <w:t>t,</w:t>
            </w:r>
            <w:r w:rsidRPr="00327AD2">
              <w:rPr>
                <w:rFonts w:ascii="Arial Narrow" w:hAnsi="Arial Narrow" w:cs="Arial"/>
                <w:color w:val="000000"/>
                <w:lang w:eastAsia="sk-SK"/>
              </w:rPr>
              <w:t xml:space="preserve"> môže byť v súlade so zákonom o príspevku z EŠIF rozhodnuté nasledovne: </w:t>
            </w:r>
          </w:p>
          <w:p w:rsidR="00327AD2" w:rsidRPr="00366C72" w:rsidRDefault="00327AD2" w:rsidP="00366C72">
            <w:pPr>
              <w:pStyle w:val="Odsekzoznamu"/>
              <w:numPr>
                <w:ilvl w:val="0"/>
                <w:numId w:val="16"/>
              </w:numPr>
              <w:autoSpaceDE w:val="0"/>
              <w:autoSpaceDN w:val="0"/>
              <w:adjustRightInd w:val="0"/>
              <w:spacing w:before="120"/>
              <w:rPr>
                <w:rFonts w:ascii="Arial Narrow" w:hAnsi="Arial Narrow" w:cs="Arial"/>
                <w:color w:val="000000"/>
              </w:rPr>
            </w:pPr>
            <w:r w:rsidRPr="00366C72">
              <w:rPr>
                <w:rFonts w:ascii="Arial Narrow" w:hAnsi="Arial Narrow" w:cs="Arial"/>
                <w:color w:val="000000"/>
                <w:sz w:val="22"/>
                <w:szCs w:val="22"/>
              </w:rPr>
              <w:t>vydaním rozhodnutia o neschválení žiadosti o</w:t>
            </w:r>
            <w:r w:rsidR="00F65BDA">
              <w:rPr>
                <w:rFonts w:ascii="Arial Narrow" w:hAnsi="Arial Narrow" w:cs="Arial"/>
                <w:color w:val="000000"/>
                <w:sz w:val="22"/>
                <w:szCs w:val="22"/>
              </w:rPr>
              <w:t> </w:t>
            </w:r>
            <w:r w:rsidRPr="00366C72">
              <w:rPr>
                <w:rFonts w:ascii="Arial Narrow" w:hAnsi="Arial Narrow" w:cs="Arial"/>
                <w:color w:val="000000"/>
                <w:sz w:val="22"/>
                <w:szCs w:val="22"/>
              </w:rPr>
              <w:t>NFP</w:t>
            </w:r>
            <w:r w:rsidR="00F65BDA">
              <w:rPr>
                <w:rFonts w:ascii="Arial Narrow" w:hAnsi="Arial Narrow" w:cs="Arial"/>
                <w:color w:val="000000"/>
                <w:sz w:val="22"/>
                <w:szCs w:val="22"/>
              </w:rPr>
              <w:t xml:space="preserve"> </w:t>
            </w:r>
            <w:r w:rsidR="00F65BDA" w:rsidRPr="00F65BDA">
              <w:rPr>
                <w:rFonts w:ascii="Arial Narrow" w:hAnsi="Arial Narrow" w:cs="Arial"/>
                <w:color w:val="000000"/>
                <w:sz w:val="22"/>
                <w:szCs w:val="22"/>
              </w:rPr>
              <w:t>zo strany RO OPII</w:t>
            </w:r>
            <w:r w:rsidRPr="00366C72">
              <w:rPr>
                <w:rFonts w:ascii="Arial Narrow" w:hAnsi="Arial Narrow" w:cs="Arial"/>
                <w:color w:val="000000"/>
                <w:sz w:val="22"/>
                <w:szCs w:val="22"/>
              </w:rPr>
              <w:t xml:space="preserve">, </w:t>
            </w:r>
          </w:p>
          <w:p w:rsidR="00327AD2" w:rsidRPr="00366C72" w:rsidRDefault="00327AD2" w:rsidP="00366C72">
            <w:pPr>
              <w:pStyle w:val="Odsekzoznamu"/>
              <w:numPr>
                <w:ilvl w:val="0"/>
                <w:numId w:val="16"/>
              </w:numPr>
              <w:autoSpaceDE w:val="0"/>
              <w:autoSpaceDN w:val="0"/>
              <w:adjustRightInd w:val="0"/>
              <w:spacing w:before="120"/>
              <w:rPr>
                <w:rFonts w:ascii="Arial Narrow" w:hAnsi="Arial Narrow" w:cs="Arial"/>
                <w:color w:val="000000"/>
              </w:rPr>
            </w:pPr>
            <w:r w:rsidRPr="00366C72">
              <w:rPr>
                <w:rFonts w:ascii="Arial Narrow" w:hAnsi="Arial Narrow" w:cs="Arial"/>
                <w:color w:val="000000"/>
                <w:sz w:val="22"/>
                <w:szCs w:val="22"/>
              </w:rPr>
              <w:t>vydaním rozhodnutia o zastavení konania o žiadosti o</w:t>
            </w:r>
            <w:r w:rsidR="00F65BDA" w:rsidRPr="00366C72">
              <w:rPr>
                <w:rFonts w:ascii="Arial Narrow" w:hAnsi="Arial Narrow" w:cs="Arial"/>
                <w:color w:val="000000"/>
                <w:sz w:val="22"/>
                <w:szCs w:val="22"/>
              </w:rPr>
              <w:t> </w:t>
            </w:r>
            <w:r w:rsidRPr="00366C72">
              <w:rPr>
                <w:rFonts w:ascii="Arial Narrow" w:hAnsi="Arial Narrow" w:cs="Arial"/>
                <w:color w:val="000000"/>
                <w:sz w:val="22"/>
                <w:szCs w:val="22"/>
              </w:rPr>
              <w:t>NFP</w:t>
            </w:r>
            <w:r w:rsidR="00F65BDA" w:rsidRPr="00366C72">
              <w:rPr>
                <w:rFonts w:ascii="Arial Narrow" w:hAnsi="Arial Narrow" w:cs="Arial"/>
                <w:color w:val="000000"/>
                <w:sz w:val="22"/>
                <w:szCs w:val="22"/>
              </w:rPr>
              <w:t xml:space="preserve"> zo strany RO OPII</w:t>
            </w:r>
            <w:r w:rsidRPr="00366C72">
              <w:rPr>
                <w:rFonts w:ascii="Arial Narrow" w:hAnsi="Arial Narrow" w:cs="Arial"/>
                <w:color w:val="000000"/>
                <w:sz w:val="22"/>
                <w:szCs w:val="22"/>
              </w:rPr>
              <w:t xml:space="preserve">. </w:t>
            </w:r>
          </w:p>
          <w:p w:rsidR="00D66391" w:rsidRPr="00366C72" w:rsidRDefault="00D66391" w:rsidP="00ED6858">
            <w:pPr>
              <w:autoSpaceDE w:val="0"/>
              <w:autoSpaceDN w:val="0"/>
              <w:adjustRightInd w:val="0"/>
              <w:spacing w:before="120" w:after="0" w:line="240" w:lineRule="auto"/>
              <w:jc w:val="both"/>
              <w:rPr>
                <w:rFonts w:ascii="Arial Narrow" w:hAnsi="Arial Narrow" w:cs="Arial"/>
                <w:bCs/>
                <w:color w:val="000000"/>
                <w:lang w:eastAsia="sk-SK"/>
              </w:rPr>
            </w:pPr>
            <w:r w:rsidRPr="00366C72">
              <w:rPr>
                <w:rFonts w:ascii="Arial Narrow" w:hAnsi="Arial Narrow" w:cs="Arial"/>
                <w:bCs/>
                <w:color w:val="000000"/>
                <w:lang w:eastAsia="sk-SK"/>
              </w:rPr>
              <w:t xml:space="preserve">V prípade, ak projekt splnil hodnotiace kritériá, RO OPII zašle žiadateľovi informáciu o splnení hodnotiacich kritérií a zároveň EK zašle Informáciu o veľkom projekte a/alebo Oznámenie vybraného veľkého projektu Komisii. </w:t>
            </w:r>
            <w:r w:rsidRPr="00366C72">
              <w:rPr>
                <w:rFonts w:ascii="Arial Narrow" w:hAnsi="Arial Narrow" w:cs="Arial"/>
                <w:b/>
                <w:bCs/>
                <w:color w:val="000000"/>
                <w:lang w:eastAsia="sk-SK"/>
              </w:rPr>
              <w:t>Veľký projekt je schválený až na základe Rozhodnutia Komisie o schválení veľkého projektu</w:t>
            </w:r>
            <w:r w:rsidRPr="00366C72">
              <w:rPr>
                <w:rFonts w:ascii="Arial Narrow" w:hAnsi="Arial Narrow" w:cs="Arial"/>
                <w:bCs/>
                <w:color w:val="000000"/>
                <w:lang w:eastAsia="sk-SK"/>
              </w:rPr>
              <w:t>.</w:t>
            </w:r>
          </w:p>
          <w:p w:rsidR="00ED6858" w:rsidRPr="00366C72"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sidRPr="00366C72">
              <w:rPr>
                <w:rFonts w:ascii="Arial Narrow" w:hAnsi="Arial Narrow" w:cs="Arial"/>
                <w:b/>
                <w:bCs/>
                <w:color w:val="000000"/>
                <w:lang w:eastAsia="sk-SK"/>
              </w:rPr>
              <w:lastRenderedPageBreak/>
              <w:t>Spôsob financovania</w:t>
            </w:r>
          </w:p>
          <w:p w:rsidR="00ED6858" w:rsidRPr="00366C72"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sidRPr="00366C72">
              <w:rPr>
                <w:rFonts w:ascii="Arial Narrow" w:hAnsi="Arial Narrow" w:cs="Arial"/>
                <w:color w:val="000000"/>
                <w:lang w:eastAsia="sk-SK"/>
              </w:rPr>
              <w:t>Spôsob financovania projektu a vyplácanie prijímateľa v závislosti od jeho právnej formy je uvedený v kapitole 2.6 Príručky pre žiadateľa.</w:t>
            </w:r>
          </w:p>
          <w:p w:rsidR="00327AD2" w:rsidRPr="00366C7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66C72">
              <w:rPr>
                <w:rFonts w:ascii="Arial Narrow" w:hAnsi="Arial Narrow" w:cs="Arial"/>
                <w:b/>
                <w:bCs/>
                <w:color w:val="000000"/>
                <w:lang w:eastAsia="sk-SK"/>
              </w:rPr>
              <w:t xml:space="preserve">Zverejňovanie informácií </w:t>
            </w:r>
          </w:p>
          <w:p w:rsidR="00327AD2" w:rsidRPr="00366C7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66C72">
              <w:rPr>
                <w:rFonts w:ascii="Arial Narrow" w:hAnsi="Arial Narrow" w:cs="Arial"/>
                <w:color w:val="000000"/>
                <w:lang w:eastAsia="sk-SK"/>
              </w:rPr>
              <w:t xml:space="preserve">RO OPII zverejní na svojom webovom sídle </w:t>
            </w:r>
            <w:r w:rsidR="00142C76" w:rsidRPr="00366C72">
              <w:rPr>
                <w:rFonts w:ascii="Arial Narrow" w:hAnsi="Arial Narrow" w:cstheme="minorHAnsi"/>
              </w:rPr>
              <w:t>RO OPII</w:t>
            </w:r>
            <w:r w:rsidR="00436C85" w:rsidRPr="00366C72">
              <w:rPr>
                <w:rFonts w:ascii="Arial Narrow" w:hAnsi="Arial Narrow" w:cs="Arial"/>
                <w:color w:val="000000"/>
                <w:lang w:eastAsia="sk-SK"/>
              </w:rPr>
              <w:t xml:space="preserve"> </w:t>
            </w:r>
            <w:r w:rsidRPr="00366C72">
              <w:rPr>
                <w:rFonts w:ascii="Arial Narrow" w:hAnsi="Arial Narrow" w:cs="Arial"/>
                <w:color w:val="000000"/>
                <w:lang w:eastAsia="sk-SK"/>
              </w:rPr>
              <w:t xml:space="preserve">najneskôr do 60 pracovných dní od ukončenia rozhodovania o žiadostiach o NFP </w:t>
            </w:r>
            <w:r w:rsidRPr="00366C72">
              <w:rPr>
                <w:rFonts w:ascii="Arial Narrow" w:hAnsi="Arial Narrow" w:cs="Arial"/>
                <w:b/>
                <w:bCs/>
                <w:color w:val="000000"/>
                <w:lang w:eastAsia="sk-SK"/>
              </w:rPr>
              <w:t xml:space="preserve">Zoznam schválených žiadostí o NFP </w:t>
            </w:r>
            <w:r w:rsidRPr="00366C72">
              <w:rPr>
                <w:rFonts w:ascii="Arial Narrow" w:hAnsi="Arial Narrow" w:cs="Arial"/>
                <w:color w:val="000000"/>
                <w:lang w:eastAsia="sk-SK"/>
              </w:rPr>
              <w:t xml:space="preserve">a </w:t>
            </w:r>
            <w:r w:rsidRPr="00366C72">
              <w:rPr>
                <w:rFonts w:ascii="Arial Narrow" w:hAnsi="Arial Narrow" w:cs="Arial"/>
                <w:b/>
                <w:bCs/>
                <w:color w:val="000000"/>
                <w:lang w:eastAsia="sk-SK"/>
              </w:rPr>
              <w:t>Zoznam neschválených žiadostí o NFP</w:t>
            </w:r>
            <w:r w:rsidRPr="00366C72">
              <w:rPr>
                <w:rFonts w:ascii="Arial Narrow" w:hAnsi="Arial Narrow" w:cs="Arial"/>
                <w:color w:val="000000"/>
                <w:lang w:eastAsia="sk-SK"/>
              </w:rPr>
              <w:t xml:space="preserve">. V zozname schválených a neschválených ŽoNFP sa zverejňujú údaje v rozsahu podľa § 48 ods.1 a ods. 2 zákona o príspevku z EŠIF. </w:t>
            </w:r>
          </w:p>
          <w:p w:rsidR="00327AD2" w:rsidRPr="00366C7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66C72">
              <w:rPr>
                <w:rFonts w:ascii="Arial Narrow" w:hAnsi="Arial Narrow" w:cs="Arial"/>
                <w:color w:val="000000"/>
                <w:lang w:eastAsia="sk-SK"/>
              </w:rPr>
              <w:t xml:space="preserve">Zároveň Centrálny koordinačný orgán zverejňuje na svojom webovom sídle údaje </w:t>
            </w:r>
            <w:r w:rsidRPr="00366C72">
              <w:rPr>
                <w:rFonts w:ascii="Arial Narrow" w:hAnsi="Arial Narrow" w:cs="Arial"/>
                <w:lang w:eastAsia="sk-SK"/>
              </w:rPr>
              <w:t>o zmluvách, ktoré nadobudli účinnosť</w:t>
            </w:r>
            <w:r w:rsidRPr="00366C72">
              <w:rPr>
                <w:rFonts w:ascii="Arial Narrow" w:hAnsi="Arial Narrow" w:cs="Arial"/>
                <w:color w:val="000000"/>
                <w:lang w:eastAsia="sk-SK"/>
              </w:rPr>
              <w:t xml:space="preserve">, v rozsahu podľa § 48 ods. 5 zákona o príspevku z EŠIF. </w:t>
            </w:r>
          </w:p>
          <w:p w:rsidR="00327AD2" w:rsidRPr="00366C7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66C7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rsidR="00327AD2" w:rsidRPr="00366C72" w:rsidRDefault="00327AD2" w:rsidP="00327AD2">
            <w:pPr>
              <w:autoSpaceDE w:val="0"/>
              <w:autoSpaceDN w:val="0"/>
              <w:adjustRightInd w:val="0"/>
              <w:spacing w:before="120" w:after="0" w:line="240" w:lineRule="auto"/>
              <w:jc w:val="both"/>
              <w:rPr>
                <w:rFonts w:ascii="Arial Narrow" w:hAnsi="Arial Narrow" w:cs="Arial"/>
                <w:lang w:eastAsia="sk-SK"/>
              </w:rPr>
            </w:pPr>
            <w:r w:rsidRPr="00366C72">
              <w:rPr>
                <w:rFonts w:ascii="Arial Narrow" w:hAnsi="Arial Narrow" w:cs="Arial"/>
                <w:b/>
                <w:bCs/>
                <w:lang w:eastAsia="sk-SK"/>
              </w:rPr>
              <w:t xml:space="preserve">Uzavretie zmluvy o poskytnutí NFP </w:t>
            </w:r>
          </w:p>
          <w:p w:rsidR="009C4654" w:rsidRPr="00366C72" w:rsidRDefault="009C4654" w:rsidP="00327AD2">
            <w:pPr>
              <w:autoSpaceDE w:val="0"/>
              <w:autoSpaceDN w:val="0"/>
              <w:adjustRightInd w:val="0"/>
              <w:spacing w:before="120" w:after="0" w:line="240" w:lineRule="auto"/>
              <w:jc w:val="both"/>
              <w:rPr>
                <w:rFonts w:ascii="Arial Narrow" w:hAnsi="Arial Narrow" w:cs="Arial"/>
                <w:lang w:eastAsia="sk-SK"/>
              </w:rPr>
            </w:pPr>
            <w:r w:rsidRPr="00366C72">
              <w:rPr>
                <w:rFonts w:ascii="Arial Narrow" w:hAnsi="Arial Narrow" w:cs="Arial"/>
                <w:lang w:eastAsia="sk-SK"/>
              </w:rPr>
              <w:t>Po schválení veľkého projektu Európskou komisiou následne RO OPII informuje žiadateľa o schválení veľkého projektu písomnou formou a zašle žiadateľovi návrh na uzavretie zmluvy o poskytnutí NFP.</w:t>
            </w:r>
          </w:p>
          <w:p w:rsidR="009C4654" w:rsidRDefault="009C4654" w:rsidP="00327AD2">
            <w:pPr>
              <w:autoSpaceDE w:val="0"/>
              <w:autoSpaceDN w:val="0"/>
              <w:adjustRightInd w:val="0"/>
              <w:spacing w:before="120" w:after="0" w:line="240" w:lineRule="auto"/>
              <w:jc w:val="both"/>
              <w:rPr>
                <w:rFonts w:ascii="Arial Narrow" w:hAnsi="Arial Narrow" w:cs="Arial"/>
                <w:lang w:eastAsia="sk-SK"/>
              </w:rPr>
            </w:pPr>
            <w:r w:rsidRPr="00366C72">
              <w:rPr>
                <w:rFonts w:ascii="Arial Narrow" w:hAnsi="Arial Narrow" w:cs="Arial"/>
                <w:lang w:eastAsia="sk-SK"/>
              </w:rPr>
              <w:t xml:space="preserve">Riadiaci orgán môže uzavrieť zmluvu so žiadateľom po predložení žiadosti na nezávislé posúdenie kvality a informovaní Európskej komisie alebo priamo na schválenie Európskej komisii pred jej schválením. Ak </w:t>
            </w:r>
            <w:r w:rsidR="005979D6" w:rsidRPr="00366C72">
              <w:rPr>
                <w:rFonts w:ascii="Arial Narrow" w:hAnsi="Arial Narrow" w:cs="Arial"/>
                <w:lang w:eastAsia="sk-SK"/>
              </w:rPr>
              <w:t>bude</w:t>
            </w:r>
            <w:r w:rsidRPr="00366C72">
              <w:rPr>
                <w:rFonts w:ascii="Arial Narrow" w:hAnsi="Arial Narrow" w:cs="Arial"/>
                <w:lang w:eastAsia="sk-SK"/>
              </w:rPr>
              <w:t xml:space="preserve"> uzavretá zmluva podľa predchádzajúcej vety a príspevok neb</w:t>
            </w:r>
            <w:r w:rsidR="005979D6" w:rsidRPr="00366C72">
              <w:rPr>
                <w:rFonts w:ascii="Arial Narrow" w:hAnsi="Arial Narrow" w:cs="Arial"/>
                <w:lang w:eastAsia="sk-SK"/>
              </w:rPr>
              <w:t>ude</w:t>
            </w:r>
            <w:r w:rsidRPr="00366C72">
              <w:rPr>
                <w:rFonts w:ascii="Arial Narrow" w:hAnsi="Arial Narrow" w:cs="Arial"/>
                <w:lang w:eastAsia="sk-SK"/>
              </w:rPr>
              <w:t xml:space="preserve"> schválený</w:t>
            </w:r>
            <w:r w:rsidR="005979D6" w:rsidRPr="00366C72">
              <w:rPr>
                <w:rFonts w:ascii="Arial Narrow" w:hAnsi="Arial Narrow" w:cs="Arial"/>
                <w:lang w:eastAsia="sk-SK"/>
              </w:rPr>
              <w:t xml:space="preserve"> Európskou komisiou</w:t>
            </w:r>
            <w:r w:rsidRPr="00366C72">
              <w:rPr>
                <w:rFonts w:ascii="Arial Narrow" w:hAnsi="Arial Narrow" w:cs="Arial"/>
                <w:lang w:eastAsia="sk-SK"/>
              </w:rPr>
              <w:t>, riadiaci orgán je povinný zmluvu vypovedať alebo od zmluvy odstúpiť</w:t>
            </w:r>
            <w:r w:rsidR="005979D6" w:rsidRPr="00366C72">
              <w:rPr>
                <w:rFonts w:ascii="Arial Narrow" w:hAnsi="Arial Narrow" w:cs="Arial"/>
                <w:lang w:eastAsia="sk-SK"/>
              </w:rPr>
              <w:t>.</w:t>
            </w:r>
          </w:p>
          <w:p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rsidR="00200152" w:rsidRPr="00E30C7E" w:rsidRDefault="00C06CE6" w:rsidP="006F68C7">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color w:val="000000"/>
                <w:lang w:eastAsia="sk-SK"/>
              </w:rPr>
              <w:t xml:space="preserve">V prípade tohto písomného vyzvania </w:t>
            </w:r>
            <w:r>
              <w:rPr>
                <w:rFonts w:ascii="Arial Narrow" w:hAnsi="Arial Narrow"/>
                <w:b/>
                <w:bCs/>
                <w:color w:val="000000"/>
                <w:lang w:eastAsia="sk-SK"/>
              </w:rPr>
              <w:t>neboli</w:t>
            </w:r>
            <w:r>
              <w:rPr>
                <w:rFonts w:ascii="Arial Narrow" w:hAnsi="Arial Narrow"/>
                <w:color w:val="000000"/>
                <w:lang w:eastAsia="sk-SK"/>
              </w:rPr>
              <w:t xml:space="preserve"> v rámci schváleného </w:t>
            </w:r>
            <w:r>
              <w:rPr>
                <w:rFonts w:ascii="Arial Narrow" w:hAnsi="Arial Narrow"/>
                <w:b/>
                <w:bCs/>
                <w:color w:val="000000"/>
                <w:lang w:eastAsia="sk-SK"/>
              </w:rPr>
              <w:t xml:space="preserve">Plánu vyzvaní OPII pre veľké projekty, národné projekty a projekty technickej pomoci na rok 2021 </w:t>
            </w:r>
            <w:r>
              <w:rPr>
                <w:rFonts w:ascii="Arial Narrow" w:hAnsi="Arial Narrow"/>
                <w:color w:val="000000"/>
                <w:lang w:eastAsia="sk-SK"/>
              </w:rPr>
              <w:t>identifikované synergické a komplementárne účinky v rámci EŠIF a ani s inými politikami, stratégiami a nástrojmi EÚ.</w:t>
            </w:r>
          </w:p>
        </w:tc>
      </w:tr>
    </w:tbl>
    <w:p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w:t>
            </w:r>
            <w:r w:rsidRPr="00F1589B">
              <w:rPr>
                <w:rFonts w:ascii="Arial Narrow" w:hAnsi="Arial Narrow" w:cs="Arial"/>
                <w:color w:val="000000"/>
                <w:lang w:eastAsia="sk-SK"/>
              </w:rPr>
              <w:lastRenderedPageBreak/>
              <w:t xml:space="preserve">ŽoNFP dotknuté a zároveň sa zmena vyzvania týka aj ŽoNFP, ktoré boli predložené pred vykonaním zmeny ale pred rozhodnutím o ŽoNFP.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232FC4"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232FC4" w:rsidRDefault="00232FC4"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232FC4" w:rsidRDefault="00232FC4" w:rsidP="00232FC4">
            <w:pPr>
              <w:autoSpaceDE w:val="0"/>
              <w:autoSpaceDN w:val="0"/>
              <w:adjustRightInd w:val="0"/>
              <w:spacing w:before="120" w:after="0" w:line="240" w:lineRule="auto"/>
              <w:ind w:left="317" w:hanging="317"/>
              <w:jc w:val="both"/>
              <w:rPr>
                <w:rFonts w:ascii="Arial Narrow" w:hAnsi="Arial Narrow" w:cstheme="minorHAnsi"/>
                <w:bCs/>
                <w:iCs/>
              </w:rPr>
            </w:pPr>
            <w:r>
              <w:rPr>
                <w:rFonts w:ascii="Arial Narrow" w:hAnsi="Arial Narrow" w:cs="Arial"/>
                <w:color w:val="000000"/>
                <w:lang w:eastAsia="sk-SK"/>
              </w:rPr>
              <w:t xml:space="preserve">2a </w:t>
            </w:r>
            <w:r w:rsidRPr="00D37D33">
              <w:rPr>
                <w:rFonts w:ascii="Arial Narrow" w:hAnsi="Arial Narrow" w:cstheme="minorHAnsi"/>
                <w:bCs/>
                <w:iCs/>
              </w:rPr>
              <w:t xml:space="preserve">Formulár na predloženie </w:t>
            </w:r>
            <w:r>
              <w:rPr>
                <w:rFonts w:ascii="Arial Narrow" w:hAnsi="Arial Narrow" w:cstheme="minorHAnsi"/>
                <w:bCs/>
                <w:iCs/>
              </w:rPr>
              <w:t>I</w:t>
            </w:r>
            <w:r w:rsidRPr="00D37D33">
              <w:rPr>
                <w:rFonts w:ascii="Arial Narrow" w:hAnsi="Arial Narrow" w:cstheme="minorHAnsi"/>
                <w:bCs/>
                <w:iCs/>
              </w:rPr>
              <w:t>nformácií o veľkom projekte v zmysle vykonávacieho aktu EK</w:t>
            </w:r>
            <w:r w:rsidRPr="0030137E">
              <w:rPr>
                <w:rFonts w:ascii="Arial Narrow" w:hAnsi="Arial Narrow" w:cstheme="minorHAnsi"/>
                <w:bCs/>
                <w:iCs/>
              </w:rPr>
              <w:t xml:space="preserve"> </w:t>
            </w:r>
            <w:r w:rsidRPr="00E0262B">
              <w:rPr>
                <w:rFonts w:ascii="Arial Narrow" w:hAnsi="Arial Narrow" w:cstheme="minorHAnsi"/>
                <w:bCs/>
                <w:iCs/>
              </w:rPr>
              <w:t>v slovenskom a anglickom jazyku</w:t>
            </w:r>
          </w:p>
          <w:p w:rsidR="00232FC4" w:rsidRPr="00232FC4" w:rsidRDefault="00232FC4" w:rsidP="00232FC4">
            <w:pPr>
              <w:autoSpaceDE w:val="0"/>
              <w:autoSpaceDN w:val="0"/>
              <w:adjustRightInd w:val="0"/>
              <w:spacing w:before="120" w:after="0" w:line="240" w:lineRule="auto"/>
              <w:ind w:left="317" w:hanging="317"/>
              <w:jc w:val="both"/>
              <w:rPr>
                <w:rFonts w:ascii="Arial Narrow" w:hAnsi="Arial Narrow" w:cstheme="minorHAnsi"/>
                <w:bCs/>
                <w:iCs/>
              </w:rPr>
            </w:pPr>
            <w:r>
              <w:rPr>
                <w:rFonts w:ascii="Arial Narrow" w:hAnsi="Arial Narrow" w:cstheme="minorHAnsi"/>
                <w:bCs/>
                <w:iCs/>
              </w:rPr>
              <w:t xml:space="preserve">2b </w:t>
            </w:r>
            <w:r w:rsidRPr="00D37D33">
              <w:rPr>
                <w:rFonts w:ascii="Arial Narrow" w:hAnsi="Arial Narrow" w:cstheme="minorHAnsi"/>
                <w:bCs/>
                <w:iCs/>
              </w:rPr>
              <w:t>Formulár na predloženie</w:t>
            </w:r>
            <w:r>
              <w:t xml:space="preserve"> </w:t>
            </w:r>
            <w:r w:rsidRPr="00E0262B">
              <w:rPr>
                <w:rFonts w:ascii="Arial Narrow" w:hAnsi="Arial Narrow" w:cstheme="minorHAnsi"/>
                <w:bCs/>
                <w:iCs/>
              </w:rPr>
              <w:t>Oznámeni</w:t>
            </w:r>
            <w:r>
              <w:rPr>
                <w:rFonts w:ascii="Arial Narrow" w:hAnsi="Arial Narrow" w:cstheme="minorHAnsi"/>
                <w:bCs/>
                <w:iCs/>
              </w:rPr>
              <w:t>a</w:t>
            </w:r>
            <w:r w:rsidRPr="00E0262B">
              <w:rPr>
                <w:rFonts w:ascii="Arial Narrow" w:hAnsi="Arial Narrow" w:cstheme="minorHAnsi"/>
                <w:bCs/>
                <w:iCs/>
              </w:rPr>
              <w:t xml:space="preserve"> vybraného veľkého projektu v súlade s článkom 102 všeobecného nariadenia v slovenskom a anglickom jazyku</w:t>
            </w:r>
          </w:p>
        </w:tc>
      </w:tr>
      <w:tr w:rsidR="00427C6F"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427C6F" w:rsidRDefault="00232FC4"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D37D33" w:rsidRPr="00FF5D3E" w:rsidRDefault="00232FC4"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FF5D3E" w:rsidRDefault="0097250D" w:rsidP="00D37D33">
            <w:pPr>
              <w:autoSpaceDE w:val="0"/>
              <w:autoSpaceDN w:val="0"/>
              <w:adjustRightInd w:val="0"/>
              <w:spacing w:before="120" w:after="0" w:line="240" w:lineRule="auto"/>
              <w:jc w:val="both"/>
              <w:rPr>
                <w:rFonts w:ascii="Arial Narrow" w:hAnsi="Arial Narrow" w:cs="Arial"/>
                <w:color w:val="000000"/>
                <w:lang w:eastAsia="sk-SK"/>
              </w:rPr>
            </w:pPr>
            <w:r w:rsidRPr="0097250D">
              <w:rPr>
                <w:rFonts w:ascii="Arial Narrow" w:hAnsi="Arial Narrow" w:cstheme="minorHAnsi"/>
                <w:bCs/>
                <w:iCs/>
              </w:rPr>
              <w:t xml:space="preserve">Informácia pre žiadateľov o nenávratný finančný príspevok/o príspevok, ktorá je zverejnená na webovom sídle </w:t>
            </w:r>
            <w:hyperlink r:id="rId17" w:history="1">
              <w:r w:rsidRPr="0097250D">
                <w:rPr>
                  <w:rStyle w:val="Hypertextovprepojenie"/>
                  <w:rFonts w:ascii="Arial Narrow" w:hAnsi="Arial Narrow" w:cstheme="minorHAnsi"/>
                  <w:bCs/>
                  <w:iCs/>
                </w:rPr>
                <w:t>http://www.olaf.vlada.gov.sk/system-vcasneho-odhalovania-rizika-a-vylucenia-edes/</w:t>
              </w:r>
            </w:hyperlink>
          </w:p>
        </w:tc>
      </w:tr>
      <w:tr w:rsidR="00D37D33"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D37D33" w:rsidRDefault="0097250D"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5</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8"/>
      <w:footerReference w:type="defaul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415" w:rsidRDefault="00B74415" w:rsidP="00784ECE">
      <w:pPr>
        <w:spacing w:after="0" w:line="240" w:lineRule="auto"/>
      </w:pPr>
      <w:r>
        <w:separator/>
      </w:r>
    </w:p>
  </w:endnote>
  <w:endnote w:type="continuationSeparator" w:id="0">
    <w:p w:rsidR="00B74415" w:rsidRDefault="00B74415"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rsidR="0049783F" w:rsidRDefault="0049783F" w:rsidP="00B235CF">
        <w:pPr>
          <w:pStyle w:val="Pta"/>
          <w:ind w:firstLine="2832"/>
        </w:pPr>
        <w:r w:rsidRPr="00D45093">
          <w:rPr>
            <w:rFonts w:asciiTheme="minorHAnsi" w:hAnsiTheme="minorHAnsi"/>
            <w:sz w:val="20"/>
            <w:szCs w:val="20"/>
          </w:rPr>
          <w:t xml:space="preserve">                                                                                                                               </w:t>
        </w:r>
        <w:r w:rsidR="00D85555"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D85555" w:rsidRPr="00F1589B">
          <w:rPr>
            <w:rFonts w:asciiTheme="minorHAnsi" w:hAnsiTheme="minorHAnsi"/>
            <w:sz w:val="20"/>
            <w:szCs w:val="20"/>
          </w:rPr>
          <w:fldChar w:fldCharType="separate"/>
        </w:r>
        <w:r w:rsidR="00E1580C">
          <w:rPr>
            <w:rFonts w:asciiTheme="minorHAnsi" w:hAnsiTheme="minorHAnsi"/>
            <w:noProof/>
            <w:sz w:val="20"/>
            <w:szCs w:val="20"/>
          </w:rPr>
          <w:t>1</w:t>
        </w:r>
        <w:r w:rsidR="00D85555" w:rsidRPr="00F1589B">
          <w:rPr>
            <w:rFonts w:asciiTheme="minorHAnsi" w:hAnsiTheme="minorHAnsi"/>
            <w:sz w:val="20"/>
            <w:szCs w:val="20"/>
          </w:rPr>
          <w:fldChar w:fldCharType="end"/>
        </w:r>
      </w:p>
    </w:sdtContent>
  </w:sdt>
  <w:p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3F" w:rsidRDefault="0049783F" w:rsidP="00F4420F">
    <w:pPr>
      <w:pStyle w:val="Pta"/>
      <w:jc w:val="right"/>
    </w:pPr>
    <w:r w:rsidDel="00FA1491">
      <w:t xml:space="preserve"> </w:t>
    </w:r>
  </w:p>
  <w:p w:rsidR="0049783F" w:rsidRDefault="0049783F" w:rsidP="00F1589B">
    <w:pPr>
      <w:pStyle w:val="Pta"/>
      <w:jc w:val="right"/>
    </w:pPr>
  </w:p>
  <w:p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415" w:rsidRDefault="00B74415" w:rsidP="00784ECE">
      <w:pPr>
        <w:spacing w:after="0" w:line="240" w:lineRule="auto"/>
      </w:pPr>
      <w:r>
        <w:separator/>
      </w:r>
    </w:p>
  </w:footnote>
  <w:footnote w:type="continuationSeparator" w:id="0">
    <w:p w:rsidR="00B74415" w:rsidRDefault="00B74415" w:rsidP="00784ECE">
      <w:pPr>
        <w:spacing w:after="0" w:line="240" w:lineRule="auto"/>
      </w:pPr>
      <w:r>
        <w:continuationSeparator/>
      </w:r>
    </w:p>
  </w:footnote>
  <w:footnote w:id="1">
    <w:p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rsidR="0028353B" w:rsidRPr="00626FE8" w:rsidRDefault="0028353B"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 xml:space="preserve">Systém implementácie HP UR | </w:t>
        </w:r>
        <w:proofErr w:type="spellStart"/>
        <w:r w:rsidRPr="00DA056D">
          <w:rPr>
            <w:rStyle w:val="Hypertextovprepojenie"/>
            <w:rFonts w:ascii="Arial Narrow" w:hAnsi="Arial Narrow"/>
            <w:sz w:val="18"/>
            <w:szCs w:val="18"/>
          </w:rPr>
          <w:t>Vicepremier</w:t>
        </w:r>
        <w:proofErr w:type="spellEnd"/>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rsidR="0028353B" w:rsidRPr="00737991" w:rsidRDefault="0028353B"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rsidR="0028353B" w:rsidRDefault="0028353B"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121" w:rsidRDefault="005F54A7" w:rsidP="00F863CD">
    <w:pPr>
      <w:pStyle w:val="Hlavika"/>
      <w:jc w:val="center"/>
    </w:pPr>
    <w:r>
      <w:rPr>
        <w:noProof/>
      </w:rPr>
      <w:drawing>
        <wp:inline distT="0" distB="0" distL="0" distR="0">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40E2A66"/>
    <w:multiLevelType w:val="hybridMultilevel"/>
    <w:tmpl w:val="690449FA"/>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CDE5880"/>
    <w:multiLevelType w:val="hybridMultilevel"/>
    <w:tmpl w:val="F048AE52"/>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03E7C9C"/>
    <w:multiLevelType w:val="hybridMultilevel"/>
    <w:tmpl w:val="F06E4544"/>
    <w:lvl w:ilvl="0" w:tplc="979E1F6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3">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nsid w:val="7A2075FB"/>
    <w:multiLevelType w:val="hybridMultilevel"/>
    <w:tmpl w:val="0D5CCFD0"/>
    <w:lvl w:ilvl="0" w:tplc="C66CB0FA">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6">
    <w:nsid w:val="7A3C2784"/>
    <w:multiLevelType w:val="hybridMultilevel"/>
    <w:tmpl w:val="6A80497A"/>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8"/>
  </w:num>
  <w:num w:numId="4">
    <w:abstractNumId w:val="5"/>
  </w:num>
  <w:num w:numId="5">
    <w:abstractNumId w:val="17"/>
  </w:num>
  <w:num w:numId="6">
    <w:abstractNumId w:val="0"/>
  </w:num>
  <w:num w:numId="7">
    <w:abstractNumId w:val="13"/>
  </w:num>
  <w:num w:numId="8">
    <w:abstractNumId w:val="7"/>
  </w:num>
  <w:num w:numId="9">
    <w:abstractNumId w:val="4"/>
  </w:num>
  <w:num w:numId="10">
    <w:abstractNumId w:val="9"/>
  </w:num>
  <w:num w:numId="11">
    <w:abstractNumId w:val="6"/>
  </w:num>
  <w:num w:numId="12">
    <w:abstractNumId w:val="10"/>
  </w:num>
  <w:num w:numId="13">
    <w:abstractNumId w:val="2"/>
  </w:num>
  <w:num w:numId="14">
    <w:abstractNumId w:val="16"/>
  </w:num>
  <w:num w:numId="15">
    <w:abstractNumId w:val="12"/>
  </w:num>
  <w:num w:numId="16">
    <w:abstractNumId w:val="3"/>
  </w:num>
  <w:num w:numId="17">
    <w:abstractNumId w:val="1"/>
  </w:num>
  <w:num w:numId="18">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08CF"/>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57D4"/>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57FB6"/>
    <w:rsid w:val="00164511"/>
    <w:rsid w:val="0016481D"/>
    <w:rsid w:val="00164A0A"/>
    <w:rsid w:val="00165AF5"/>
    <w:rsid w:val="00166C09"/>
    <w:rsid w:val="00166C3D"/>
    <w:rsid w:val="00170089"/>
    <w:rsid w:val="00170B2E"/>
    <w:rsid w:val="00171DF4"/>
    <w:rsid w:val="00172140"/>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638"/>
    <w:rsid w:val="001A5898"/>
    <w:rsid w:val="001B28E4"/>
    <w:rsid w:val="001B4BF0"/>
    <w:rsid w:val="001B6A6D"/>
    <w:rsid w:val="001C174A"/>
    <w:rsid w:val="001C1816"/>
    <w:rsid w:val="001C39E3"/>
    <w:rsid w:val="001D0AD7"/>
    <w:rsid w:val="001D2832"/>
    <w:rsid w:val="001D29D9"/>
    <w:rsid w:val="001E0760"/>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26B3"/>
    <w:rsid w:val="00223511"/>
    <w:rsid w:val="0022397A"/>
    <w:rsid w:val="00223C3F"/>
    <w:rsid w:val="00224224"/>
    <w:rsid w:val="00224576"/>
    <w:rsid w:val="00226939"/>
    <w:rsid w:val="0022787F"/>
    <w:rsid w:val="00231926"/>
    <w:rsid w:val="00231AC4"/>
    <w:rsid w:val="00232DD4"/>
    <w:rsid w:val="00232FC4"/>
    <w:rsid w:val="00234B0C"/>
    <w:rsid w:val="00234B37"/>
    <w:rsid w:val="002361DD"/>
    <w:rsid w:val="0024107A"/>
    <w:rsid w:val="00252914"/>
    <w:rsid w:val="00252D8E"/>
    <w:rsid w:val="00253F01"/>
    <w:rsid w:val="002551FF"/>
    <w:rsid w:val="0026703F"/>
    <w:rsid w:val="0027228D"/>
    <w:rsid w:val="00274FC5"/>
    <w:rsid w:val="0028353B"/>
    <w:rsid w:val="0028370D"/>
    <w:rsid w:val="002841E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87B"/>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0257"/>
    <w:rsid w:val="003613E8"/>
    <w:rsid w:val="00362D07"/>
    <w:rsid w:val="00365E0A"/>
    <w:rsid w:val="00366746"/>
    <w:rsid w:val="00366C72"/>
    <w:rsid w:val="0036768D"/>
    <w:rsid w:val="0037176B"/>
    <w:rsid w:val="003732C0"/>
    <w:rsid w:val="00374CFA"/>
    <w:rsid w:val="00375FB7"/>
    <w:rsid w:val="00381BFD"/>
    <w:rsid w:val="00382E03"/>
    <w:rsid w:val="003852E5"/>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1E"/>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0FA"/>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979D6"/>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48D4"/>
    <w:rsid w:val="00626384"/>
    <w:rsid w:val="006268D2"/>
    <w:rsid w:val="00626FE8"/>
    <w:rsid w:val="006317CB"/>
    <w:rsid w:val="00633404"/>
    <w:rsid w:val="0063617B"/>
    <w:rsid w:val="0064247B"/>
    <w:rsid w:val="00662770"/>
    <w:rsid w:val="00666322"/>
    <w:rsid w:val="00667164"/>
    <w:rsid w:val="006748F5"/>
    <w:rsid w:val="00675032"/>
    <w:rsid w:val="006853C2"/>
    <w:rsid w:val="00690745"/>
    <w:rsid w:val="00691B4B"/>
    <w:rsid w:val="006937F7"/>
    <w:rsid w:val="006950EA"/>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375A"/>
    <w:rsid w:val="00744B54"/>
    <w:rsid w:val="0074628B"/>
    <w:rsid w:val="00747AE8"/>
    <w:rsid w:val="00750FED"/>
    <w:rsid w:val="007515AA"/>
    <w:rsid w:val="007515F9"/>
    <w:rsid w:val="00752C11"/>
    <w:rsid w:val="00753246"/>
    <w:rsid w:val="00760121"/>
    <w:rsid w:val="00761A6B"/>
    <w:rsid w:val="00762C67"/>
    <w:rsid w:val="0076471B"/>
    <w:rsid w:val="00765803"/>
    <w:rsid w:val="0077283C"/>
    <w:rsid w:val="007739AA"/>
    <w:rsid w:val="00773C42"/>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44B1"/>
    <w:rsid w:val="0083455A"/>
    <w:rsid w:val="00834568"/>
    <w:rsid w:val="0084175B"/>
    <w:rsid w:val="008445D7"/>
    <w:rsid w:val="00847013"/>
    <w:rsid w:val="00850E48"/>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B50"/>
    <w:rsid w:val="008A3E73"/>
    <w:rsid w:val="008A4ADD"/>
    <w:rsid w:val="008A4F0A"/>
    <w:rsid w:val="008A65AE"/>
    <w:rsid w:val="008B0E32"/>
    <w:rsid w:val="008B1326"/>
    <w:rsid w:val="008B2CF0"/>
    <w:rsid w:val="008B341E"/>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F1058"/>
    <w:rsid w:val="008F1CB4"/>
    <w:rsid w:val="008F1E02"/>
    <w:rsid w:val="008F26C8"/>
    <w:rsid w:val="008F3834"/>
    <w:rsid w:val="008F5E5B"/>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250D"/>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4654"/>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4835"/>
    <w:rsid w:val="00A85E5D"/>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717"/>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415"/>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4826"/>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6CE6"/>
    <w:rsid w:val="00C07FF5"/>
    <w:rsid w:val="00C10E19"/>
    <w:rsid w:val="00C14A7F"/>
    <w:rsid w:val="00C15F76"/>
    <w:rsid w:val="00C205DA"/>
    <w:rsid w:val="00C210AC"/>
    <w:rsid w:val="00C22073"/>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9E1"/>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57C1"/>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47F6D"/>
    <w:rsid w:val="00D51ABB"/>
    <w:rsid w:val="00D51DA2"/>
    <w:rsid w:val="00D55CAF"/>
    <w:rsid w:val="00D6017C"/>
    <w:rsid w:val="00D64042"/>
    <w:rsid w:val="00D66391"/>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5555"/>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75E"/>
    <w:rsid w:val="00DB3DCA"/>
    <w:rsid w:val="00DB4427"/>
    <w:rsid w:val="00DB524C"/>
    <w:rsid w:val="00DB710E"/>
    <w:rsid w:val="00DC0402"/>
    <w:rsid w:val="00DC0A19"/>
    <w:rsid w:val="00DC3474"/>
    <w:rsid w:val="00DC34F1"/>
    <w:rsid w:val="00DC4A06"/>
    <w:rsid w:val="00DD1AC3"/>
    <w:rsid w:val="00DD34CD"/>
    <w:rsid w:val="00DD350F"/>
    <w:rsid w:val="00DD57FF"/>
    <w:rsid w:val="00DD6D4C"/>
    <w:rsid w:val="00DD6FD8"/>
    <w:rsid w:val="00DE0937"/>
    <w:rsid w:val="00DE3E3C"/>
    <w:rsid w:val="00DE6A46"/>
    <w:rsid w:val="00DF0D6B"/>
    <w:rsid w:val="00DF0E3E"/>
    <w:rsid w:val="00DF32E4"/>
    <w:rsid w:val="00DF4FC7"/>
    <w:rsid w:val="00DF5C4E"/>
    <w:rsid w:val="00DF5E1F"/>
    <w:rsid w:val="00DF6198"/>
    <w:rsid w:val="00DF737C"/>
    <w:rsid w:val="00E00C3A"/>
    <w:rsid w:val="00E0524C"/>
    <w:rsid w:val="00E10CB0"/>
    <w:rsid w:val="00E13A4A"/>
    <w:rsid w:val="00E14753"/>
    <w:rsid w:val="00E1580C"/>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67950"/>
    <w:rsid w:val="00E70544"/>
    <w:rsid w:val="00E71357"/>
    <w:rsid w:val="00E74272"/>
    <w:rsid w:val="00E75079"/>
    <w:rsid w:val="00E80A70"/>
    <w:rsid w:val="00E85F77"/>
    <w:rsid w:val="00E90661"/>
    <w:rsid w:val="00E90795"/>
    <w:rsid w:val="00E91C94"/>
    <w:rsid w:val="00E930DB"/>
    <w:rsid w:val="00E93182"/>
    <w:rsid w:val="00E93A4C"/>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3106"/>
    <w:rsid w:val="00F541C4"/>
    <w:rsid w:val="00F56319"/>
    <w:rsid w:val="00F605EE"/>
    <w:rsid w:val="00F61671"/>
    <w:rsid w:val="00F622D4"/>
    <w:rsid w:val="00F65BDA"/>
    <w:rsid w:val="00F82DB4"/>
    <w:rsid w:val="00F8345E"/>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E42D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Odsekzoznamu">
    <w:name w:val="tl1"/>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15589862">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hyperlink" Target="http://www.olaf.vlada.gov.sk/system-vcasneho-odhalovania-rizika-a-vylucenia-edes/" TargetMode="External"/><Relationship Id="rId2" Type="http://schemas.openxmlformats.org/officeDocument/2006/relationships/numbering" Target="numbering.xml"/><Relationship Id="rId16" Type="http://schemas.openxmlformats.org/officeDocument/2006/relationships/hyperlink" Target="https://www.opii.gov.sk/metodicke-dokumenty/prirucka-k-opravnenosti-vydavk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cba" TargetMode="External"/><Relationship Id="rId10" Type="http://schemas.openxmlformats.org/officeDocument/2006/relationships/hyperlink" Target="http://www.slovensko.s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73457-3CAA-47A4-8B19-2D54FE429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2262</TotalTime>
  <Pages>12</Pages>
  <Words>5149</Words>
  <Characters>29353</Characters>
  <Application>Microsoft Office Word</Application>
  <DocSecurity>0</DocSecurity>
  <Lines>244</Lines>
  <Paragraphs>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211</cp:revision>
  <cp:lastPrinted>2016-01-20T15:57:00Z</cp:lastPrinted>
  <dcterms:created xsi:type="dcterms:W3CDTF">2016-01-22T06:28:00Z</dcterms:created>
  <dcterms:modified xsi:type="dcterms:W3CDTF">2021-03-29T12:18:00Z</dcterms:modified>
</cp:coreProperties>
</file>